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89" w:type="dxa"/>
        <w:jc w:val="center"/>
        <w:tblLook w:val="01E0"/>
      </w:tblPr>
      <w:tblGrid>
        <w:gridCol w:w="1457"/>
        <w:gridCol w:w="144"/>
        <w:gridCol w:w="9188"/>
      </w:tblGrid>
      <w:tr w:rsidR="007711F9" w:rsidTr="0042748F">
        <w:trPr>
          <w:trHeight w:val="309"/>
          <w:jc w:val="center"/>
        </w:trPr>
        <w:tc>
          <w:tcPr>
            <w:tcW w:w="10789" w:type="dxa"/>
            <w:gridSpan w:val="3"/>
          </w:tcPr>
          <w:p w:rsidR="007711F9" w:rsidRPr="00E26EE2" w:rsidRDefault="00201718" w:rsidP="007711F9">
            <w:pPr>
              <w:pStyle w:val="Titre1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40"/>
                <w:szCs w:val="40"/>
              </w:rPr>
              <w:t>Manuel</w:t>
            </w:r>
            <w:r w:rsidR="007711F9" w:rsidRPr="00E26EE2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color w:val="000000"/>
                <w:sz w:val="40"/>
                <w:szCs w:val="40"/>
              </w:rPr>
              <w:t>PLISSON</w:t>
            </w:r>
          </w:p>
          <w:p w:rsidR="007711F9" w:rsidRPr="00C131A3" w:rsidRDefault="007711F9" w:rsidP="00CC0DDA">
            <w:pPr>
              <w:pStyle w:val="NormalWeb"/>
              <w:spacing w:before="0" w:beforeAutospacing="0" w:after="0" w:afterAutospacing="0" w:line="15" w:lineRule="atLeast"/>
              <w:jc w:val="center"/>
              <w:rPr>
                <w:sz w:val="12"/>
                <w:szCs w:val="12"/>
              </w:rPr>
            </w:pPr>
          </w:p>
        </w:tc>
      </w:tr>
      <w:tr w:rsidR="00CC0DDA" w:rsidRPr="00CC0DDA" w:rsidTr="0042748F">
        <w:trPr>
          <w:trHeight w:val="309"/>
          <w:jc w:val="center"/>
        </w:trPr>
        <w:tc>
          <w:tcPr>
            <w:tcW w:w="10789" w:type="dxa"/>
            <w:gridSpan w:val="3"/>
          </w:tcPr>
          <w:p w:rsidR="00CC0DDA" w:rsidRPr="00E26EE2" w:rsidRDefault="00CC0DDA" w:rsidP="00CC0DDA">
            <w:pPr>
              <w:ind w:firstLine="211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26EE2">
              <w:rPr>
                <w:rFonts w:ascii="Calibri" w:hAnsi="Calibri"/>
                <w:i/>
                <w:color w:val="000000"/>
                <w:sz w:val="20"/>
                <w:szCs w:val="20"/>
              </w:rPr>
              <w:t>Nationalité française</w:t>
            </w:r>
          </w:p>
          <w:p w:rsidR="00CC0DDA" w:rsidRDefault="00CC0DDA" w:rsidP="00CC0DDA">
            <w:pPr>
              <w:ind w:firstLine="211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26EE2">
              <w:rPr>
                <w:rFonts w:ascii="Calibri" w:hAnsi="Calibri"/>
                <w:i/>
                <w:color w:val="000000"/>
                <w:sz w:val="20"/>
                <w:szCs w:val="20"/>
              </w:rPr>
              <w:t>LEDa-LEGOS, Université Paris-Dauphine</w:t>
            </w:r>
          </w:p>
          <w:p w:rsidR="00DC6EF6" w:rsidRPr="00E26EE2" w:rsidRDefault="00DC6EF6" w:rsidP="00CC0DDA">
            <w:pPr>
              <w:ind w:firstLine="211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Chaires Risques et Chances de la Transition Démographiques</w:t>
            </w:r>
          </w:p>
          <w:p w:rsidR="00CC0DDA" w:rsidRPr="00E26EE2" w:rsidRDefault="00CC0DDA" w:rsidP="00CC0DDA">
            <w:pPr>
              <w:ind w:firstLine="211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26EE2">
              <w:rPr>
                <w:rFonts w:ascii="Calibri" w:hAnsi="Calibri"/>
                <w:i/>
                <w:color w:val="000000"/>
                <w:sz w:val="20"/>
                <w:szCs w:val="20"/>
              </w:rPr>
              <w:t>Place du Maréchal de Lattre de Tassigny</w:t>
            </w:r>
          </w:p>
          <w:p w:rsidR="00CC0DDA" w:rsidRPr="00E26EE2" w:rsidRDefault="00CC0DDA" w:rsidP="00CC0DDA">
            <w:pPr>
              <w:ind w:firstLine="211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26EE2">
              <w:rPr>
                <w:rFonts w:ascii="Calibri" w:hAnsi="Calibri"/>
                <w:i/>
                <w:color w:val="000000"/>
                <w:sz w:val="20"/>
                <w:szCs w:val="20"/>
              </w:rPr>
              <w:t>75775 PARIS cedex 16</w:t>
            </w:r>
          </w:p>
          <w:p w:rsidR="00CC0DDA" w:rsidRPr="00E26EE2" w:rsidRDefault="00201718" w:rsidP="00CC0DDA">
            <w:pPr>
              <w:ind w:firstLine="211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Tel. 06 20 71 22 35</w:t>
            </w:r>
          </w:p>
          <w:p w:rsidR="00CC0DDA" w:rsidRPr="00E26EE2" w:rsidRDefault="00201718" w:rsidP="00CC0DDA">
            <w:pPr>
              <w:ind w:firstLine="211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manuel.plisson</w:t>
            </w:r>
            <w:r w:rsidR="00CC0DDA" w:rsidRPr="00E26EE2">
              <w:rPr>
                <w:rFonts w:ascii="Calibri" w:hAnsi="Calibri"/>
                <w:i/>
                <w:color w:val="000000"/>
                <w:sz w:val="20"/>
                <w:szCs w:val="20"/>
              </w:rPr>
              <w:t>@dauphine.fr</w:t>
            </w:r>
          </w:p>
          <w:p w:rsidR="00CC0DDA" w:rsidRPr="006A3661" w:rsidRDefault="00CC0DDA" w:rsidP="00CC0DDA">
            <w:pPr>
              <w:ind w:left="194" w:firstLine="748"/>
              <w:jc w:val="center"/>
              <w:rPr>
                <w:sz w:val="16"/>
                <w:szCs w:val="16"/>
              </w:rPr>
            </w:pPr>
          </w:p>
        </w:tc>
      </w:tr>
      <w:tr w:rsidR="00D05957" w:rsidTr="0042748F">
        <w:trPr>
          <w:trHeight w:val="309"/>
          <w:jc w:val="center"/>
        </w:trPr>
        <w:tc>
          <w:tcPr>
            <w:tcW w:w="10789" w:type="dxa"/>
            <w:gridSpan w:val="3"/>
          </w:tcPr>
          <w:p w:rsidR="00D05957" w:rsidRPr="00E26EE2" w:rsidRDefault="00E3433B" w:rsidP="007711F9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Docteur</w:t>
            </w:r>
            <w:r w:rsidR="00CC0DDA" w:rsidRPr="00E26EE2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 xml:space="preserve"> en Sciences Economiques</w:t>
            </w:r>
          </w:p>
          <w:p w:rsidR="009B21AC" w:rsidRDefault="009B21AC" w:rsidP="007711F9">
            <w:pPr>
              <w:pStyle w:val="NormalWeb"/>
              <w:spacing w:before="0" w:beforeAutospacing="0" w:after="0" w:afterAutospacing="0" w:line="15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909F6" w:rsidRPr="009B21AC" w:rsidRDefault="007909F6" w:rsidP="007711F9">
            <w:pPr>
              <w:pStyle w:val="NormalWeb"/>
              <w:spacing w:before="0" w:beforeAutospacing="0" w:after="0" w:afterAutospacing="0" w:line="15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300E" w:rsidRPr="00AB224B" w:rsidTr="0042748F">
        <w:trPr>
          <w:trHeight w:val="526"/>
          <w:jc w:val="center"/>
        </w:trPr>
        <w:tc>
          <w:tcPr>
            <w:tcW w:w="10789" w:type="dxa"/>
            <w:gridSpan w:val="3"/>
          </w:tcPr>
          <w:p w:rsidR="0044300E" w:rsidRPr="00AB224B" w:rsidRDefault="0044300E" w:rsidP="006B767D">
            <w:pPr>
              <w:rPr>
                <w:rFonts w:ascii="Calibri" w:hAnsi="Calibri"/>
                <w:b/>
                <w:i/>
                <w:color w:val="6600FF"/>
                <w:sz w:val="26"/>
                <w:szCs w:val="26"/>
                <w:u w:val="single"/>
              </w:rPr>
            </w:pPr>
            <w:r w:rsidRPr="00FD0561">
              <w:rPr>
                <w:rFonts w:ascii="Calibri" w:hAnsi="Calibri"/>
                <w:b/>
                <w:i/>
                <w:color w:val="000000"/>
                <w:sz w:val="36"/>
                <w:szCs w:val="36"/>
                <w:u w:val="single"/>
              </w:rPr>
              <w:t>F</w:t>
            </w:r>
            <w:r w:rsidRPr="00AB224B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>ormation et diplômes universitaires</w:t>
            </w:r>
            <w:r w:rsidR="003B27AA" w:rsidRPr="00AB224B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</w:t>
            </w:r>
            <w:r w:rsidR="003B27AA" w:rsidRPr="00AB224B">
              <w:rPr>
                <w:rFonts w:ascii="Calibri" w:hAnsi="Calibri"/>
                <w:b/>
                <w:i/>
                <w:color w:val="FFFFFF"/>
                <w:sz w:val="26"/>
                <w:szCs w:val="26"/>
                <w:u w:val="single"/>
              </w:rPr>
              <w:t>.</w:t>
            </w:r>
          </w:p>
        </w:tc>
      </w:tr>
      <w:tr w:rsidR="0044300E" w:rsidTr="00976DBC">
        <w:trPr>
          <w:trHeight w:val="306"/>
          <w:jc w:val="center"/>
        </w:trPr>
        <w:tc>
          <w:tcPr>
            <w:tcW w:w="1457" w:type="dxa"/>
          </w:tcPr>
          <w:p w:rsidR="0044300E" w:rsidRPr="005F6F15" w:rsidRDefault="00201718" w:rsidP="00215FEE">
            <w:pPr>
              <w:jc w:val="right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2004</w:t>
            </w:r>
            <w:r w:rsidR="001D7EBE"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-20</w:t>
            </w:r>
            <w:r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9332" w:type="dxa"/>
            <w:gridSpan w:val="2"/>
          </w:tcPr>
          <w:p w:rsidR="0044300E" w:rsidRPr="005F6F15" w:rsidRDefault="0044300E" w:rsidP="0020171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5F6F15">
              <w:rPr>
                <w:rFonts w:ascii="Calibri" w:hAnsi="Calibri" w:cs="Tahoma"/>
                <w:b/>
                <w:i/>
                <w:sz w:val="22"/>
                <w:szCs w:val="22"/>
              </w:rPr>
              <w:t>Doctorat en Sciences Economiques</w:t>
            </w:r>
            <w:r w:rsidRPr="005F6F15">
              <w:rPr>
                <w:rFonts w:ascii="Calibri" w:hAnsi="Calibri" w:cs="Tahoma"/>
                <w:i/>
                <w:sz w:val="22"/>
                <w:szCs w:val="22"/>
              </w:rPr>
              <w:t>,</w:t>
            </w:r>
            <w:r w:rsidRPr="005F6F15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</w:t>
            </w:r>
            <w:r w:rsidRPr="005F6F15">
              <w:rPr>
                <w:rFonts w:ascii="Calibri" w:hAnsi="Calibri" w:cs="Tahoma"/>
                <w:i/>
                <w:sz w:val="22"/>
                <w:szCs w:val="22"/>
              </w:rPr>
              <w:t>Université Paris-Dauphine</w:t>
            </w:r>
            <w:r w:rsidR="00201718">
              <w:rPr>
                <w:rFonts w:ascii="Calibri" w:hAnsi="Calibri" w:cs="Tahoma"/>
                <w:i/>
                <w:sz w:val="22"/>
                <w:szCs w:val="22"/>
              </w:rPr>
              <w:t xml:space="preserve"> (27 Novembre 2009</w:t>
            </w:r>
            <w:r w:rsidR="001D7EBE">
              <w:rPr>
                <w:rFonts w:ascii="Calibri" w:hAnsi="Calibri" w:cs="Tahoma"/>
                <w:i/>
                <w:sz w:val="22"/>
                <w:szCs w:val="22"/>
              </w:rPr>
              <w:t xml:space="preserve">), sous la direction de </w:t>
            </w:r>
            <w:r w:rsidR="00201718">
              <w:rPr>
                <w:rFonts w:ascii="Calibri" w:hAnsi="Calibri" w:cs="Tahoma"/>
                <w:i/>
                <w:sz w:val="22"/>
                <w:szCs w:val="22"/>
              </w:rPr>
              <w:t>Jean-Hervé Lorenzi</w:t>
            </w:r>
          </w:p>
        </w:tc>
      </w:tr>
      <w:tr w:rsidR="00313E9D" w:rsidTr="00976DBC">
        <w:trPr>
          <w:trHeight w:val="306"/>
          <w:jc w:val="center"/>
        </w:trPr>
        <w:tc>
          <w:tcPr>
            <w:tcW w:w="1457" w:type="dxa"/>
          </w:tcPr>
          <w:p w:rsidR="00313E9D" w:rsidRPr="005F6F15" w:rsidRDefault="00313E9D" w:rsidP="00E17192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9332" w:type="dxa"/>
            <w:gridSpan w:val="2"/>
            <w:shd w:val="clear" w:color="auto" w:fill="auto"/>
          </w:tcPr>
          <w:p w:rsidR="00313E9D" w:rsidRPr="00781AE2" w:rsidRDefault="00313E9D" w:rsidP="00201718">
            <w:pPr>
              <w:numPr>
                <w:ilvl w:val="0"/>
                <w:numId w:val="3"/>
              </w:numPr>
              <w:ind w:right="155"/>
              <w:jc w:val="both"/>
              <w:rPr>
                <w:rFonts w:ascii="Calibri" w:hAnsi="Calibri" w:cs="Vrinda"/>
                <w:i/>
                <w:color w:val="000000"/>
                <w:sz w:val="22"/>
                <w:szCs w:val="22"/>
              </w:rPr>
            </w:pPr>
            <w:r w:rsidRPr="00781AE2">
              <w:rPr>
                <w:rFonts w:ascii="Calibri" w:hAnsi="Calibri" w:cs="Vrinda"/>
                <w:i/>
                <w:color w:val="000000"/>
                <w:sz w:val="22"/>
                <w:szCs w:val="22"/>
              </w:rPr>
              <w:t xml:space="preserve">Titre : </w:t>
            </w:r>
            <w:r w:rsidR="00201718" w:rsidRPr="00201718">
              <w:rPr>
                <w:rFonts w:ascii="Calibri" w:hAnsi="Calibri" w:cs="Vrinda"/>
                <w:i/>
                <w:color w:val="000000"/>
                <w:sz w:val="22"/>
                <w:szCs w:val="22"/>
              </w:rPr>
              <w:t>« Assurabilité et développement de l’assurance dépendance»</w:t>
            </w:r>
          </w:p>
        </w:tc>
      </w:tr>
      <w:tr w:rsidR="00313E9D" w:rsidTr="00976DBC">
        <w:trPr>
          <w:trHeight w:val="306"/>
          <w:jc w:val="center"/>
        </w:trPr>
        <w:tc>
          <w:tcPr>
            <w:tcW w:w="1457" w:type="dxa"/>
          </w:tcPr>
          <w:p w:rsidR="00313E9D" w:rsidRPr="005F6F15" w:rsidRDefault="00313E9D" w:rsidP="00E17192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9332" w:type="dxa"/>
            <w:gridSpan w:val="2"/>
          </w:tcPr>
          <w:p w:rsidR="00313E9D" w:rsidRPr="001D7EBE" w:rsidRDefault="001D7EBE" w:rsidP="007909F6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Jury</w:t>
            </w:r>
            <w:r w:rsidR="00313E9D" w:rsidRPr="00781AE2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 :</w:t>
            </w:r>
            <w:r w:rsidR="00313E9D" w:rsidRPr="00781AE2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Agnès Gramain</w:t>
            </w:r>
            <w:r w:rsidR="007909F6" w:rsidRPr="00781AE2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(U. </w:t>
            </w:r>
            <w:r w:rsidR="007909F6" w:rsidRPr="00781AE2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de Nancy II</w:t>
            </w:r>
            <w:r w:rsidR="00201718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 – Présidente du Jury) ; Anne Lavigne (U. Orléans</w:t>
            </w:r>
            <w:r w:rsidR="00817F3B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 – </w:t>
            </w:r>
            <w:r w:rsidR="00201718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Rapporteur</w:t>
            </w:r>
            <w:r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) ; </w:t>
            </w:r>
            <w:r w:rsidR="00201718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André Masson (PSE – Rapporteur) ; Jean-Hervé Lorenzi (directeur) ; Denis Kessler (PdG SCOR</w:t>
            </w:r>
            <w:r w:rsidR="00817F3B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)</w:t>
            </w:r>
            <w:r w:rsidR="00201718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 ; Peter Zweifel</w:t>
            </w:r>
            <w:r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 (</w:t>
            </w:r>
            <w:r w:rsidR="007909F6" w:rsidRPr="001D7EBE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Professe</w:t>
            </w:r>
            <w:r w:rsidR="00201718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ur à l’Université de Zurich)</w:t>
            </w:r>
          </w:p>
        </w:tc>
      </w:tr>
      <w:tr w:rsidR="00370AEA" w:rsidRPr="00481DBF" w:rsidTr="00976DBC">
        <w:trPr>
          <w:trHeight w:val="306"/>
          <w:jc w:val="center"/>
        </w:trPr>
        <w:tc>
          <w:tcPr>
            <w:tcW w:w="1457" w:type="dxa"/>
          </w:tcPr>
          <w:p w:rsidR="00370AEA" w:rsidRDefault="00370AEA" w:rsidP="00E17192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9332" w:type="dxa"/>
            <w:gridSpan w:val="2"/>
          </w:tcPr>
          <w:p w:rsidR="00370AEA" w:rsidRPr="00261388" w:rsidRDefault="00370AEA" w:rsidP="00974F1D">
            <w:pPr>
              <w:jc w:val="both"/>
              <w:rPr>
                <w:rFonts w:ascii="Calibri" w:hAnsi="Calibri" w:cs="Tahoma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370AEA">
              <w:rPr>
                <w:rFonts w:ascii="Calibri" w:hAnsi="Calibri" w:cs="Tahoma"/>
                <w:bCs/>
                <w:i/>
                <w:color w:val="000000"/>
                <w:sz w:val="22"/>
                <w:szCs w:val="22"/>
                <w:lang w:val="en-US"/>
              </w:rPr>
              <w:t>Georgia State University (ATLANTA) PhD Program in Risk Management.</w:t>
            </w:r>
          </w:p>
        </w:tc>
      </w:tr>
      <w:tr w:rsidR="00313E9D" w:rsidTr="00976DBC">
        <w:trPr>
          <w:trHeight w:val="306"/>
          <w:jc w:val="center"/>
        </w:trPr>
        <w:tc>
          <w:tcPr>
            <w:tcW w:w="1457" w:type="dxa"/>
          </w:tcPr>
          <w:p w:rsidR="00313E9D" w:rsidRPr="005F6F15" w:rsidRDefault="00974F1D" w:rsidP="00E17192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</w:t>
            </w:r>
            <w:r w:rsidR="00370AEA"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03-2004</w:t>
            </w:r>
          </w:p>
        </w:tc>
        <w:tc>
          <w:tcPr>
            <w:tcW w:w="9332" w:type="dxa"/>
            <w:gridSpan w:val="2"/>
          </w:tcPr>
          <w:p w:rsidR="00313E9D" w:rsidRPr="00201718" w:rsidRDefault="00E95E2D" w:rsidP="00974F1D">
            <w:pPr>
              <w:jc w:val="both"/>
              <w:rPr>
                <w:rFonts w:ascii="Calibri" w:hAnsi="Calibri" w:cs="Tahoma"/>
                <w:bCs/>
                <w:i/>
                <w:color w:val="000000"/>
                <w:sz w:val="22"/>
                <w:szCs w:val="22"/>
              </w:rPr>
            </w:pPr>
            <w:r w:rsidRPr="00E95E2D"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DEA  Econométrie</w:t>
            </w:r>
            <w:r>
              <w:rPr>
                <w:rFonts w:ascii="Calibri" w:hAnsi="Calibri" w:cs="Tahoma"/>
                <w:bCs/>
                <w:i/>
                <w:color w:val="000000"/>
                <w:sz w:val="22"/>
                <w:szCs w:val="22"/>
              </w:rPr>
              <w:t>,</w:t>
            </w:r>
            <w:r w:rsidR="00201718" w:rsidRPr="00201718">
              <w:rPr>
                <w:rFonts w:ascii="Calibri" w:hAnsi="Calibri" w:cs="Tahoma"/>
                <w:bCs/>
                <w:i/>
                <w:color w:val="000000"/>
                <w:sz w:val="22"/>
                <w:szCs w:val="22"/>
              </w:rPr>
              <w:t xml:space="preserve"> Université Paris I. (en auditeur libre)</w:t>
            </w:r>
          </w:p>
        </w:tc>
      </w:tr>
      <w:tr w:rsidR="00974F1D" w:rsidTr="00976DBC">
        <w:trPr>
          <w:trHeight w:val="306"/>
          <w:jc w:val="center"/>
        </w:trPr>
        <w:tc>
          <w:tcPr>
            <w:tcW w:w="1457" w:type="dxa"/>
          </w:tcPr>
          <w:p w:rsidR="00974F1D" w:rsidRDefault="00370AEA" w:rsidP="00E17192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332" w:type="dxa"/>
            <w:gridSpan w:val="2"/>
          </w:tcPr>
          <w:p w:rsidR="00974F1D" w:rsidRPr="00976DBC" w:rsidRDefault="00201718" w:rsidP="00974F1D">
            <w:pPr>
              <w:jc w:val="both"/>
              <w:rPr>
                <w:rFonts w:ascii="Calibri" w:hAnsi="Calibri" w:cs="Tahoma"/>
                <w:bCs/>
                <w:i/>
                <w:color w:val="000000"/>
                <w:sz w:val="22"/>
                <w:szCs w:val="22"/>
              </w:rPr>
            </w:pPr>
            <w:r w:rsidRPr="00E95E2D"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DESS droit des affaires et fiscalité</w:t>
            </w:r>
            <w:r w:rsidRPr="00976DBC">
              <w:rPr>
                <w:rFonts w:ascii="Calibri" w:hAnsi="Calibri" w:cs="Tahoma"/>
                <w:bCs/>
                <w:i/>
                <w:color w:val="000000"/>
                <w:sz w:val="22"/>
                <w:szCs w:val="22"/>
              </w:rPr>
              <w:t xml:space="preserve"> Université Paris I</w:t>
            </w:r>
          </w:p>
        </w:tc>
      </w:tr>
      <w:tr w:rsidR="00313E9D" w:rsidTr="00976DBC">
        <w:trPr>
          <w:trHeight w:val="306"/>
          <w:jc w:val="center"/>
        </w:trPr>
        <w:tc>
          <w:tcPr>
            <w:tcW w:w="1457" w:type="dxa"/>
          </w:tcPr>
          <w:p w:rsidR="00313E9D" w:rsidRPr="005F6F15" w:rsidRDefault="00370AEA" w:rsidP="00E17192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1998-2001</w:t>
            </w:r>
          </w:p>
        </w:tc>
        <w:tc>
          <w:tcPr>
            <w:tcW w:w="9332" w:type="dxa"/>
            <w:gridSpan w:val="2"/>
          </w:tcPr>
          <w:p w:rsidR="00313E9D" w:rsidRPr="00976DBC" w:rsidRDefault="00370AEA" w:rsidP="00974F1D">
            <w:pPr>
              <w:jc w:val="both"/>
              <w:rPr>
                <w:rFonts w:ascii="Calibri" w:hAnsi="Calibri" w:cs="Tahoma"/>
                <w:i/>
                <w:color w:val="000000"/>
                <w:sz w:val="22"/>
                <w:szCs w:val="22"/>
              </w:rPr>
            </w:pPr>
            <w:r w:rsidRPr="00E95E2D"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EDHEC, Lille. Majeure Finance</w:t>
            </w:r>
            <w:r w:rsidRPr="00976DBC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. Mention Bien</w:t>
            </w:r>
          </w:p>
        </w:tc>
      </w:tr>
      <w:tr w:rsidR="00232E05" w:rsidTr="00976DBC">
        <w:trPr>
          <w:trHeight w:val="306"/>
          <w:jc w:val="center"/>
        </w:trPr>
        <w:tc>
          <w:tcPr>
            <w:tcW w:w="1457" w:type="dxa"/>
          </w:tcPr>
          <w:p w:rsidR="00232E05" w:rsidRDefault="00215FEE" w:rsidP="00E17192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1997-1998</w:t>
            </w:r>
          </w:p>
        </w:tc>
        <w:tc>
          <w:tcPr>
            <w:tcW w:w="9332" w:type="dxa"/>
            <w:gridSpan w:val="2"/>
          </w:tcPr>
          <w:p w:rsidR="00232E05" w:rsidRPr="00976DBC" w:rsidRDefault="00E95E2D" w:rsidP="00974F1D">
            <w:pPr>
              <w:jc w:val="both"/>
              <w:rPr>
                <w:rFonts w:ascii="Calibri" w:hAnsi="Calibri" w:cs="Tahoma"/>
                <w:i/>
                <w:color w:val="000000"/>
                <w:sz w:val="22"/>
                <w:szCs w:val="22"/>
              </w:rPr>
            </w:pPr>
            <w:r w:rsidRPr="00E95E2D"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Hypokhâgne et Khâgne B/L</w:t>
            </w:r>
            <w:r w:rsidRPr="00E95E2D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 « Khâgne S »  au Lycée Daudet (Nîmes)</w:t>
            </w:r>
          </w:p>
        </w:tc>
      </w:tr>
      <w:tr w:rsidR="00481DBF" w:rsidTr="00F177A5">
        <w:trPr>
          <w:trHeight w:val="306"/>
          <w:jc w:val="center"/>
        </w:trPr>
        <w:tc>
          <w:tcPr>
            <w:tcW w:w="10789" w:type="dxa"/>
            <w:gridSpan w:val="3"/>
          </w:tcPr>
          <w:p w:rsidR="00481DBF" w:rsidRPr="00481DBF" w:rsidRDefault="00481DBF" w:rsidP="00974F1D">
            <w:pPr>
              <w:jc w:val="both"/>
              <w:rPr>
                <w:rFonts w:ascii="Calibri" w:hAnsi="Calibri" w:cs="Tahoma"/>
                <w:b/>
                <w:i/>
                <w:color w:val="000000"/>
                <w:sz w:val="26"/>
                <w:szCs w:val="26"/>
              </w:rPr>
            </w:pPr>
            <w:r w:rsidRPr="00481DBF">
              <w:rPr>
                <w:rFonts w:ascii="Calibri" w:hAnsi="Calibri"/>
                <w:b/>
                <w:i/>
                <w:color w:val="000000"/>
                <w:sz w:val="36"/>
                <w:szCs w:val="36"/>
                <w:u w:val="single"/>
              </w:rPr>
              <w:t>P</w:t>
            </w:r>
            <w:r w:rsidRPr="00481DBF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>rix et distinctions</w:t>
            </w:r>
          </w:p>
        </w:tc>
      </w:tr>
      <w:tr w:rsidR="00481DBF" w:rsidTr="00976DBC">
        <w:trPr>
          <w:trHeight w:val="306"/>
          <w:jc w:val="center"/>
        </w:trPr>
        <w:tc>
          <w:tcPr>
            <w:tcW w:w="1457" w:type="dxa"/>
          </w:tcPr>
          <w:p w:rsidR="00481DBF" w:rsidRDefault="00481DBF" w:rsidP="00E17192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332" w:type="dxa"/>
            <w:gridSpan w:val="2"/>
          </w:tcPr>
          <w:p w:rsidR="00481DBF" w:rsidRPr="00481DBF" w:rsidRDefault="00481DBF" w:rsidP="00974F1D">
            <w:pPr>
              <w:jc w:val="both"/>
              <w:rPr>
                <w:rFonts w:ascii="Calibri" w:hAnsi="Calibri" w:cs="Tahoma"/>
                <w:i/>
                <w:color w:val="000000"/>
                <w:sz w:val="22"/>
                <w:szCs w:val="22"/>
              </w:rPr>
            </w:pPr>
            <w:r w:rsidRPr="00481DBF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Prix de thèse SCOR actuariat 2010</w:t>
            </w:r>
          </w:p>
        </w:tc>
      </w:tr>
      <w:tr w:rsidR="00481DBF" w:rsidTr="00976DBC">
        <w:trPr>
          <w:trHeight w:val="306"/>
          <w:jc w:val="center"/>
        </w:trPr>
        <w:tc>
          <w:tcPr>
            <w:tcW w:w="1457" w:type="dxa"/>
          </w:tcPr>
          <w:p w:rsidR="00481DBF" w:rsidRDefault="00481DBF" w:rsidP="00E17192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332" w:type="dxa"/>
            <w:gridSpan w:val="2"/>
          </w:tcPr>
          <w:p w:rsidR="00481DBF" w:rsidRPr="00481DBF" w:rsidRDefault="00481DBF" w:rsidP="00974F1D">
            <w:pPr>
              <w:jc w:val="both"/>
              <w:rPr>
                <w:rFonts w:ascii="Calibri" w:hAnsi="Calibri" w:cs="Tahoma"/>
                <w:i/>
                <w:color w:val="000000"/>
                <w:sz w:val="22"/>
                <w:szCs w:val="22"/>
              </w:rPr>
            </w:pPr>
            <w:r w:rsidRPr="00481DBF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Prix de thèse de la fondation Médéric Alzheimer 2010</w:t>
            </w:r>
          </w:p>
        </w:tc>
      </w:tr>
      <w:tr w:rsidR="00481DBF" w:rsidTr="00976DBC">
        <w:trPr>
          <w:trHeight w:val="306"/>
          <w:jc w:val="center"/>
        </w:trPr>
        <w:tc>
          <w:tcPr>
            <w:tcW w:w="1457" w:type="dxa"/>
          </w:tcPr>
          <w:p w:rsidR="00481DBF" w:rsidRDefault="00481DBF" w:rsidP="00E17192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332" w:type="dxa"/>
            <w:gridSpan w:val="2"/>
          </w:tcPr>
          <w:p w:rsidR="00481DBF" w:rsidRPr="00481DBF" w:rsidRDefault="00481DBF" w:rsidP="00974F1D">
            <w:pPr>
              <w:jc w:val="both"/>
              <w:rPr>
                <w:rFonts w:ascii="Calibri" w:hAnsi="Calibri" w:cs="Tahoma"/>
                <w:i/>
                <w:color w:val="000000"/>
                <w:sz w:val="22"/>
                <w:szCs w:val="22"/>
              </w:rPr>
            </w:pPr>
            <w:r w:rsidRPr="00481DBF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Prix de thèse de 2011 de l’Observatoire des retraites</w:t>
            </w:r>
          </w:p>
        </w:tc>
      </w:tr>
      <w:tr w:rsidR="00481DBF" w:rsidTr="00976DBC">
        <w:trPr>
          <w:trHeight w:val="306"/>
          <w:jc w:val="center"/>
        </w:trPr>
        <w:tc>
          <w:tcPr>
            <w:tcW w:w="1457" w:type="dxa"/>
          </w:tcPr>
          <w:p w:rsidR="00481DBF" w:rsidRDefault="00481DBF" w:rsidP="00E17192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332" w:type="dxa"/>
            <w:gridSpan w:val="2"/>
          </w:tcPr>
          <w:p w:rsidR="00481DBF" w:rsidRPr="00481DBF" w:rsidRDefault="00481DBF" w:rsidP="00974F1D">
            <w:pPr>
              <w:jc w:val="both"/>
              <w:rPr>
                <w:rFonts w:ascii="Calibri" w:hAnsi="Calibri" w:cs="Tahoma"/>
                <w:i/>
                <w:color w:val="000000"/>
                <w:sz w:val="22"/>
                <w:szCs w:val="22"/>
              </w:rPr>
            </w:pPr>
            <w:r w:rsidRPr="00481DBF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Prix de thèse de l’association Benjamin Delessert (BPCE)</w:t>
            </w:r>
          </w:p>
        </w:tc>
      </w:tr>
      <w:tr w:rsidR="00E17192" w:rsidRPr="00AB224B" w:rsidTr="0042748F">
        <w:trPr>
          <w:trHeight w:val="526"/>
          <w:jc w:val="center"/>
        </w:trPr>
        <w:tc>
          <w:tcPr>
            <w:tcW w:w="10789" w:type="dxa"/>
            <w:gridSpan w:val="3"/>
          </w:tcPr>
          <w:p w:rsidR="00E17192" w:rsidRPr="005F6F15" w:rsidRDefault="00481DBF" w:rsidP="0064242C">
            <w:pPr>
              <w:rPr>
                <w:rFonts w:ascii="Calibri" w:hAnsi="Calibri"/>
                <w:b/>
                <w:i/>
                <w:color w:val="6600FF"/>
                <w:sz w:val="26"/>
                <w:szCs w:val="26"/>
                <w:u w:val="single"/>
              </w:rPr>
            </w:pPr>
            <w:r w:rsidRPr="00481DBF">
              <w:rPr>
                <w:rFonts w:ascii="Calibri" w:hAnsi="Calibri"/>
                <w:b/>
                <w:i/>
                <w:color w:val="000000"/>
                <w:sz w:val="36"/>
                <w:szCs w:val="36"/>
                <w:u w:val="single"/>
              </w:rPr>
              <w:t>E</w:t>
            </w:r>
            <w:r w:rsidR="00E17192"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>xpérience professionnelle et position universitaire</w:t>
            </w:r>
            <w:r w:rsidR="003B27AA"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</w:t>
            </w:r>
            <w:r w:rsidR="003B27AA" w:rsidRPr="005F6F15">
              <w:rPr>
                <w:rFonts w:ascii="Calibri" w:hAnsi="Calibri"/>
                <w:b/>
                <w:i/>
                <w:color w:val="FFFFFF"/>
                <w:sz w:val="26"/>
                <w:szCs w:val="26"/>
                <w:u w:val="single"/>
              </w:rPr>
              <w:t>.</w:t>
            </w:r>
          </w:p>
        </w:tc>
      </w:tr>
      <w:tr w:rsidR="003D1B26" w:rsidRPr="006554AC" w:rsidTr="00976DBC">
        <w:trPr>
          <w:trHeight w:val="306"/>
          <w:jc w:val="center"/>
        </w:trPr>
        <w:tc>
          <w:tcPr>
            <w:tcW w:w="1457" w:type="dxa"/>
          </w:tcPr>
          <w:p w:rsidR="003D1B26" w:rsidRDefault="003D1B26" w:rsidP="00215FEE">
            <w:pPr>
              <w:pStyle w:val="NormalWeb"/>
              <w:spacing w:line="15" w:lineRule="atLeast"/>
              <w:jc w:val="right"/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Depuis 2009</w:t>
            </w:r>
          </w:p>
        </w:tc>
        <w:tc>
          <w:tcPr>
            <w:tcW w:w="9332" w:type="dxa"/>
            <w:gridSpan w:val="2"/>
          </w:tcPr>
          <w:p w:rsidR="003D1B26" w:rsidRPr="006554AC" w:rsidRDefault="003D1B26" w:rsidP="00215FEE">
            <w:pPr>
              <w:pStyle w:val="Corpsdetexte"/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Chercheur associé à l’Université Paris Dauphine – </w:t>
            </w:r>
            <w:r w:rsidRPr="003D1B26">
              <w:rPr>
                <w:rFonts w:ascii="Calibri" w:hAnsi="Calibri" w:cs="Tahoma"/>
                <w:bCs/>
                <w:sz w:val="22"/>
                <w:szCs w:val="22"/>
              </w:rPr>
              <w:t>LEDA Legos et Chaire Risques et Chances de la Transition Démographique</w:t>
            </w:r>
          </w:p>
        </w:tc>
      </w:tr>
      <w:tr w:rsidR="006554AC" w:rsidRPr="006554AC" w:rsidTr="00976DBC">
        <w:trPr>
          <w:trHeight w:val="306"/>
          <w:jc w:val="center"/>
        </w:trPr>
        <w:tc>
          <w:tcPr>
            <w:tcW w:w="1457" w:type="dxa"/>
          </w:tcPr>
          <w:p w:rsidR="006554AC" w:rsidRDefault="006554AC" w:rsidP="00215FEE">
            <w:pPr>
              <w:pStyle w:val="NormalWeb"/>
              <w:spacing w:line="15" w:lineRule="atLeast"/>
              <w:jc w:val="right"/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Depuis 2011</w:t>
            </w:r>
          </w:p>
        </w:tc>
        <w:tc>
          <w:tcPr>
            <w:tcW w:w="9332" w:type="dxa"/>
            <w:gridSpan w:val="2"/>
          </w:tcPr>
          <w:p w:rsidR="006554AC" w:rsidRPr="006554AC" w:rsidRDefault="006554AC" w:rsidP="000C0548">
            <w:pPr>
              <w:pStyle w:val="Corpsdetexte"/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</w:pPr>
            <w:r w:rsidRPr="006554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Aviva Europe </w:t>
            </w:r>
            <w:r w:rsidR="000C0548">
              <w:rPr>
                <w:rFonts w:asciiTheme="minorHAnsi" w:hAnsiTheme="minorHAnsi" w:cs="Tahoma"/>
                <w:b/>
                <w:bCs/>
                <w:i/>
                <w:sz w:val="22"/>
                <w:szCs w:val="22"/>
              </w:rPr>
              <w:t>–</w:t>
            </w:r>
            <w:r w:rsidRPr="00215FEE">
              <w:rPr>
                <w:rFonts w:asciiTheme="minorHAnsi" w:hAnsiTheme="minorHAnsi" w:cs="Tahoma"/>
                <w:b/>
                <w:bCs/>
                <w:i/>
                <w:sz w:val="22"/>
                <w:szCs w:val="22"/>
              </w:rPr>
              <w:t xml:space="preserve"> </w:t>
            </w:r>
            <w:r w:rsidR="000C0548">
              <w:rPr>
                <w:rFonts w:asciiTheme="minorHAnsi" w:hAnsiTheme="minorHAnsi"/>
                <w:sz w:val="22"/>
                <w:szCs w:val="22"/>
              </w:rPr>
              <w:t>Solvabilité II, Pillier II. ORSA lead. QA. Risque Opérationnel.</w:t>
            </w:r>
          </w:p>
        </w:tc>
      </w:tr>
      <w:tr w:rsidR="00DA03DB" w:rsidRPr="005F6F15" w:rsidTr="00976DBC">
        <w:trPr>
          <w:trHeight w:val="306"/>
          <w:jc w:val="center"/>
        </w:trPr>
        <w:tc>
          <w:tcPr>
            <w:tcW w:w="1457" w:type="dxa"/>
          </w:tcPr>
          <w:p w:rsidR="00DA03DB" w:rsidRDefault="006554AC" w:rsidP="00215FEE">
            <w:pPr>
              <w:pStyle w:val="NormalWeb"/>
              <w:spacing w:line="15" w:lineRule="atLeast"/>
              <w:jc w:val="right"/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2009-2011</w:t>
            </w:r>
          </w:p>
        </w:tc>
        <w:tc>
          <w:tcPr>
            <w:tcW w:w="9332" w:type="dxa"/>
            <w:gridSpan w:val="2"/>
          </w:tcPr>
          <w:p w:rsidR="00DA03DB" w:rsidRDefault="006E725F" w:rsidP="006554AC">
            <w:pPr>
              <w:pStyle w:val="Corpsdetexte"/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PriceW</w:t>
            </w:r>
            <w:r w:rsidR="006554AC" w:rsidRPr="006554AC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aterhouseCoopers – </w:t>
            </w:r>
            <w:r w:rsidR="006554AC" w:rsidRPr="006554AC">
              <w:rPr>
                <w:rFonts w:ascii="Calibri" w:hAnsi="Calibri" w:cs="Tahoma"/>
                <w:bCs/>
                <w:sz w:val="22"/>
                <w:szCs w:val="22"/>
              </w:rPr>
              <w:t>Manager (Financial Services), Solvabilité II, ALM, Assurance Dépendance</w:t>
            </w:r>
          </w:p>
        </w:tc>
      </w:tr>
      <w:tr w:rsidR="00075AD9" w:rsidRPr="005F6F15" w:rsidTr="00976DBC">
        <w:trPr>
          <w:trHeight w:val="306"/>
          <w:jc w:val="center"/>
        </w:trPr>
        <w:tc>
          <w:tcPr>
            <w:tcW w:w="1457" w:type="dxa"/>
          </w:tcPr>
          <w:p w:rsidR="00075AD9" w:rsidRPr="005F6F15" w:rsidRDefault="006554AC" w:rsidP="00215FEE">
            <w:pPr>
              <w:pStyle w:val="NormalWeb"/>
              <w:spacing w:line="15" w:lineRule="atLeast"/>
              <w:jc w:val="right"/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2007-2008-</w:t>
            </w:r>
          </w:p>
        </w:tc>
        <w:tc>
          <w:tcPr>
            <w:tcW w:w="9332" w:type="dxa"/>
            <w:gridSpan w:val="2"/>
          </w:tcPr>
          <w:p w:rsidR="00075AD9" w:rsidRPr="005F6F15" w:rsidRDefault="006554AC" w:rsidP="00215FEE">
            <w:pPr>
              <w:pStyle w:val="Corpsdetexte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ATE</w:t>
            </w:r>
            <w:r w:rsidR="00215FEE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R - </w:t>
            </w:r>
            <w:r w:rsidR="00215FEE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</w:t>
            </w:r>
            <w:r w:rsidR="00075AD9" w:rsidRPr="005F6F15">
              <w:rPr>
                <w:rFonts w:ascii="Calibri" w:hAnsi="Calibri" w:cs="Tahoma"/>
                <w:bCs/>
                <w:i/>
                <w:sz w:val="22"/>
                <w:szCs w:val="22"/>
              </w:rPr>
              <w:t>Université Paris-Dauphine</w:t>
            </w:r>
            <w:r w:rsidR="00075AD9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-</w:t>
            </w:r>
            <w:r w:rsidRPr="00781AE2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Enseignements : Microéconomie </w:t>
            </w:r>
            <w:r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(L2</w:t>
            </w:r>
            <w:r w:rsidRPr="00781AE2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 de Sciences Economiques),</w:t>
            </w:r>
            <w:r w:rsidR="00215FEE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Macroéconomie (L2 MASS)</w:t>
            </w:r>
            <w:r w:rsidR="006E725F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,</w:t>
            </w:r>
            <w:r w:rsidRPr="00781AE2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 Statistiques inférentielles</w:t>
            </w:r>
            <w:r w:rsidR="00E3433B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, Histoire de la pensée économique (L1)</w:t>
            </w:r>
          </w:p>
        </w:tc>
      </w:tr>
      <w:tr w:rsidR="00075AD9" w:rsidRPr="00781AE2" w:rsidTr="00976DBC">
        <w:trPr>
          <w:trHeight w:val="306"/>
          <w:jc w:val="center"/>
        </w:trPr>
        <w:tc>
          <w:tcPr>
            <w:tcW w:w="1457" w:type="dxa"/>
          </w:tcPr>
          <w:p w:rsidR="00075AD9" w:rsidRPr="005F6F15" w:rsidRDefault="006554AC" w:rsidP="00215FEE">
            <w:pPr>
              <w:spacing w:line="15" w:lineRule="atLeast"/>
              <w:jc w:val="right"/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2004-2007</w:t>
            </w:r>
          </w:p>
        </w:tc>
        <w:tc>
          <w:tcPr>
            <w:tcW w:w="9332" w:type="dxa"/>
            <w:gridSpan w:val="2"/>
          </w:tcPr>
          <w:p w:rsidR="00075AD9" w:rsidRPr="006554AC" w:rsidRDefault="006554AC" w:rsidP="006554AC">
            <w:pPr>
              <w:pStyle w:val="Corpsdetexte"/>
              <w:jc w:val="both"/>
              <w:rPr>
                <w:rFonts w:ascii="Calibri" w:hAnsi="Calibri" w:cs="Tahoma"/>
                <w:i/>
                <w:color w:val="000000"/>
                <w:sz w:val="22"/>
                <w:szCs w:val="22"/>
              </w:rPr>
            </w:pPr>
            <w:r w:rsidRPr="00215FEE"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Predica</w:t>
            </w:r>
            <w:r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 – Chargé d’études actuarielles, département Technique et Produits</w:t>
            </w:r>
          </w:p>
        </w:tc>
      </w:tr>
      <w:tr w:rsidR="006B767D" w:rsidRPr="006554AC" w:rsidTr="00976DBC">
        <w:trPr>
          <w:trHeight w:val="306"/>
          <w:jc w:val="center"/>
        </w:trPr>
        <w:tc>
          <w:tcPr>
            <w:tcW w:w="1457" w:type="dxa"/>
          </w:tcPr>
          <w:p w:rsidR="006B767D" w:rsidRPr="005F6F15" w:rsidRDefault="006554AC" w:rsidP="00215FEE">
            <w:pPr>
              <w:pStyle w:val="NormalWeb"/>
              <w:spacing w:line="15" w:lineRule="atLeast"/>
              <w:jc w:val="right"/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9332" w:type="dxa"/>
            <w:gridSpan w:val="2"/>
          </w:tcPr>
          <w:p w:rsidR="006B767D" w:rsidRPr="00215FEE" w:rsidRDefault="006554AC" w:rsidP="006554AC">
            <w:pPr>
              <w:keepNext/>
              <w:keepLines/>
              <w:ind w:left="34" w:right="-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215FE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Deutsche Bank, Debt Capital Market </w:t>
            </w:r>
            <w:r w:rsidRPr="00215FEE">
              <w:rPr>
                <w:rFonts w:asciiTheme="minorHAnsi" w:hAnsiTheme="minorHAnsi"/>
                <w:sz w:val="22"/>
                <w:szCs w:val="22"/>
                <w:lang w:val="de-DE"/>
              </w:rPr>
              <w:t>- Contrôle des risques juridiques relatifs aux émissions obligataires, et en particulier aux programmes EMTN</w:t>
            </w:r>
          </w:p>
        </w:tc>
      </w:tr>
      <w:tr w:rsidR="00E17192" w:rsidRPr="00AB224B" w:rsidTr="0042748F">
        <w:trPr>
          <w:trHeight w:val="526"/>
          <w:jc w:val="center"/>
        </w:trPr>
        <w:tc>
          <w:tcPr>
            <w:tcW w:w="10789" w:type="dxa"/>
            <w:gridSpan w:val="3"/>
          </w:tcPr>
          <w:p w:rsidR="00E17192" w:rsidRPr="005F6F15" w:rsidRDefault="00E17192" w:rsidP="0064242C">
            <w:pPr>
              <w:rPr>
                <w:rFonts w:ascii="Calibri" w:hAnsi="Calibri"/>
                <w:b/>
                <w:i/>
                <w:color w:val="6600FF"/>
                <w:sz w:val="26"/>
                <w:szCs w:val="26"/>
                <w:u w:val="single"/>
              </w:rPr>
            </w:pPr>
            <w:r w:rsidRPr="00FD0561">
              <w:rPr>
                <w:rFonts w:ascii="Calibri" w:hAnsi="Calibri"/>
                <w:b/>
                <w:i/>
                <w:color w:val="000000"/>
                <w:sz w:val="36"/>
                <w:szCs w:val="36"/>
                <w:u w:val="single"/>
              </w:rPr>
              <w:t>T</w:t>
            </w:r>
            <w:r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>hèmes de recherche</w:t>
            </w:r>
            <w:r w:rsidR="003B27AA"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</w:t>
            </w:r>
            <w:r w:rsidR="003B27AA" w:rsidRPr="005F6F15">
              <w:rPr>
                <w:rFonts w:ascii="Calibri" w:hAnsi="Calibri"/>
                <w:b/>
                <w:i/>
                <w:color w:val="FFFFFF"/>
                <w:sz w:val="26"/>
                <w:szCs w:val="26"/>
                <w:u w:val="single"/>
              </w:rPr>
              <w:t>.</w:t>
            </w:r>
          </w:p>
        </w:tc>
      </w:tr>
      <w:tr w:rsidR="00E17192" w:rsidTr="00976DBC">
        <w:trPr>
          <w:trHeight w:val="306"/>
          <w:jc w:val="center"/>
        </w:trPr>
        <w:tc>
          <w:tcPr>
            <w:tcW w:w="1457" w:type="dxa"/>
          </w:tcPr>
          <w:p w:rsidR="00E17192" w:rsidRPr="00CA22FB" w:rsidRDefault="00E17192" w:rsidP="00E17192">
            <w:pPr>
              <w:pStyle w:val="NormalWeb"/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 w:rsidRPr="00CA22FB"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 xml:space="preserve">Economie </w:t>
            </w:r>
            <w:r w:rsidR="00CA22FB" w:rsidRPr="00CA22FB"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du vieillissement</w:t>
            </w:r>
          </w:p>
        </w:tc>
        <w:tc>
          <w:tcPr>
            <w:tcW w:w="9332" w:type="dxa"/>
            <w:gridSpan w:val="2"/>
          </w:tcPr>
          <w:p w:rsidR="00E17192" w:rsidRPr="005F6F15" w:rsidRDefault="00215FEE" w:rsidP="0064242C">
            <w:pPr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Dépendance, santé, comportements d’épargne, aide informelle,</w:t>
            </w:r>
            <w:r w:rsidR="009407BA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transferts intergénérationnels</w:t>
            </w:r>
          </w:p>
        </w:tc>
      </w:tr>
      <w:tr w:rsidR="00E17192" w:rsidTr="00976DBC">
        <w:trPr>
          <w:trHeight w:val="306"/>
          <w:jc w:val="center"/>
        </w:trPr>
        <w:tc>
          <w:tcPr>
            <w:tcW w:w="1457" w:type="dxa"/>
          </w:tcPr>
          <w:p w:rsidR="00E17192" w:rsidRPr="005F6F15" w:rsidRDefault="009407BA" w:rsidP="00E17192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Economie de l’assurance</w:t>
            </w:r>
            <w:r w:rsidR="00E17192" w:rsidRPr="005F6F15"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l</w:t>
            </w:r>
          </w:p>
        </w:tc>
        <w:tc>
          <w:tcPr>
            <w:tcW w:w="9332" w:type="dxa"/>
            <w:gridSpan w:val="2"/>
          </w:tcPr>
          <w:p w:rsidR="00E17192" w:rsidRPr="005F6F15" w:rsidRDefault="00E5273E" w:rsidP="0064242C">
            <w:pPr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Economie de l’incertain, </w:t>
            </w:r>
            <w:r w:rsidR="009407BA">
              <w:rPr>
                <w:rFonts w:ascii="Calibri" w:hAnsi="Calibri" w:cs="Tahoma"/>
                <w:bCs/>
                <w:i/>
                <w:sz w:val="22"/>
                <w:szCs w:val="22"/>
              </w:rPr>
              <w:t>Demande d’assurance, asymétrie d’information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, assurabilité</w:t>
            </w:r>
          </w:p>
        </w:tc>
      </w:tr>
      <w:tr w:rsidR="00E17192" w:rsidTr="00976DBC">
        <w:trPr>
          <w:trHeight w:val="306"/>
          <w:jc w:val="center"/>
        </w:trPr>
        <w:tc>
          <w:tcPr>
            <w:tcW w:w="1457" w:type="dxa"/>
          </w:tcPr>
          <w:p w:rsidR="00E17192" w:rsidRPr="005F6F15" w:rsidRDefault="00E17192" w:rsidP="00E17192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 w:rsidRPr="005F6F15"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Econométrie</w:t>
            </w:r>
          </w:p>
        </w:tc>
        <w:tc>
          <w:tcPr>
            <w:tcW w:w="9332" w:type="dxa"/>
            <w:gridSpan w:val="2"/>
          </w:tcPr>
          <w:p w:rsidR="00E17192" w:rsidRPr="005F6F15" w:rsidRDefault="00E17192" w:rsidP="0064242C">
            <w:pPr>
              <w:rPr>
                <w:rFonts w:ascii="Calibri" w:hAnsi="Calibri"/>
                <w:i/>
                <w:sz w:val="22"/>
                <w:szCs w:val="22"/>
              </w:rPr>
            </w:pPr>
            <w:r w:rsidRPr="005F6F15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Econométrie des variables qualitatives, </w:t>
            </w:r>
            <w:r w:rsidR="00976DBC">
              <w:rPr>
                <w:rFonts w:ascii="Calibri" w:hAnsi="Calibri" w:cs="Tahoma"/>
                <w:bCs/>
                <w:i/>
                <w:sz w:val="22"/>
                <w:szCs w:val="22"/>
              </w:rPr>
              <w:t>Econométrie des séries temporelles</w:t>
            </w:r>
          </w:p>
        </w:tc>
      </w:tr>
      <w:tr w:rsidR="00E17192" w:rsidRPr="00AB224B" w:rsidTr="0042748F">
        <w:trPr>
          <w:trHeight w:val="526"/>
          <w:jc w:val="center"/>
        </w:trPr>
        <w:tc>
          <w:tcPr>
            <w:tcW w:w="10789" w:type="dxa"/>
            <w:gridSpan w:val="3"/>
          </w:tcPr>
          <w:p w:rsidR="00481DBF" w:rsidRDefault="00481DBF" w:rsidP="0064242C">
            <w:pPr>
              <w:rPr>
                <w:rFonts w:ascii="Calibri" w:hAnsi="Calibri"/>
                <w:b/>
                <w:i/>
                <w:color w:val="000000"/>
                <w:sz w:val="36"/>
                <w:szCs w:val="36"/>
                <w:u w:val="single"/>
              </w:rPr>
            </w:pPr>
          </w:p>
          <w:p w:rsidR="00E17192" w:rsidRPr="005F6F15" w:rsidRDefault="00E17192" w:rsidP="0064242C">
            <w:pPr>
              <w:rPr>
                <w:rFonts w:ascii="Calibri" w:hAnsi="Calibri"/>
                <w:b/>
                <w:i/>
                <w:color w:val="6600FF"/>
                <w:sz w:val="26"/>
                <w:szCs w:val="26"/>
                <w:u w:val="single"/>
              </w:rPr>
            </w:pPr>
            <w:r w:rsidRPr="00FD0561">
              <w:rPr>
                <w:rFonts w:ascii="Calibri" w:hAnsi="Calibri"/>
                <w:b/>
                <w:i/>
                <w:color w:val="000000"/>
                <w:sz w:val="36"/>
                <w:szCs w:val="36"/>
                <w:u w:val="single"/>
              </w:rPr>
              <w:lastRenderedPageBreak/>
              <w:t>P</w:t>
            </w:r>
            <w:r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>ublication</w:t>
            </w:r>
            <w:r w:rsidR="008D5E52"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>s</w:t>
            </w:r>
            <w:r w:rsidR="009B21AC"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             </w:t>
            </w:r>
            <w:r w:rsidR="008D5E52"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                              </w:t>
            </w:r>
            <w:r w:rsidR="009B21AC"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</w:t>
            </w:r>
            <w:r w:rsidR="003B27AA"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  </w:t>
            </w:r>
            <w:r w:rsidR="009B21AC" w:rsidRPr="005F6F15">
              <w:rPr>
                <w:rFonts w:ascii="Calibri" w:hAnsi="Calibri"/>
                <w:b/>
                <w:i/>
                <w:color w:val="FFFFFF"/>
                <w:sz w:val="26"/>
                <w:szCs w:val="26"/>
                <w:u w:val="single"/>
              </w:rPr>
              <w:t>.</w:t>
            </w:r>
            <w:r w:rsidR="009B21AC" w:rsidRPr="005F6F15">
              <w:rPr>
                <w:rFonts w:ascii="Calibri" w:hAnsi="Calibri"/>
                <w:b/>
                <w:i/>
                <w:color w:val="6600FF"/>
                <w:sz w:val="26"/>
                <w:szCs w:val="26"/>
                <w:u w:val="single"/>
              </w:rPr>
              <w:t xml:space="preserve">     </w:t>
            </w:r>
          </w:p>
        </w:tc>
      </w:tr>
      <w:tr w:rsidR="009B21AC" w:rsidTr="0042748F">
        <w:trPr>
          <w:trHeight w:val="344"/>
          <w:jc w:val="center"/>
        </w:trPr>
        <w:tc>
          <w:tcPr>
            <w:tcW w:w="10789" w:type="dxa"/>
            <w:gridSpan w:val="3"/>
            <w:vAlign w:val="bottom"/>
          </w:tcPr>
          <w:p w:rsidR="009B21AC" w:rsidRPr="005F6F15" w:rsidRDefault="009B21AC" w:rsidP="006A3661">
            <w:pPr>
              <w:rPr>
                <w:rFonts w:ascii="Calibri" w:hAnsi="Calibri" w:cs="Tahoma"/>
                <w:b/>
                <w:bCs/>
                <w:i/>
                <w:color w:val="000000"/>
                <w:u w:val="single"/>
              </w:rPr>
            </w:pPr>
            <w:r w:rsidRPr="005F6F15">
              <w:rPr>
                <w:rFonts w:ascii="Calibri" w:hAnsi="Calibri" w:cs="Tahoma"/>
                <w:b/>
                <w:bCs/>
                <w:i/>
                <w:color w:val="000000"/>
                <w:u w:val="single"/>
              </w:rPr>
              <w:lastRenderedPageBreak/>
              <w:t>Publications dans des revues à comité de lecture</w:t>
            </w:r>
          </w:p>
        </w:tc>
      </w:tr>
      <w:tr w:rsidR="00E17192" w:rsidTr="00976DBC">
        <w:trPr>
          <w:trHeight w:val="344"/>
          <w:jc w:val="center"/>
        </w:trPr>
        <w:tc>
          <w:tcPr>
            <w:tcW w:w="1457" w:type="dxa"/>
          </w:tcPr>
          <w:p w:rsidR="00E17192" w:rsidRPr="005F6F15" w:rsidRDefault="00E17192" w:rsidP="0064242C">
            <w:pPr>
              <w:pStyle w:val="NormalWeb"/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 w:rsidRPr="005F6F15"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9332" w:type="dxa"/>
            <w:gridSpan w:val="2"/>
            <w:vAlign w:val="center"/>
          </w:tcPr>
          <w:p w:rsidR="00E17192" w:rsidRPr="005F6F15" w:rsidRDefault="005645C5" w:rsidP="00EF41DB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791F33">
              <w:rPr>
                <w:rFonts w:ascii="Calibri" w:hAnsi="Calibri" w:cs="Tahoma"/>
                <w:bCs/>
                <w:i/>
                <w:sz w:val="22"/>
                <w:szCs w:val="22"/>
              </w:rPr>
              <w:t>“Est-il rationnel de ne pas s’assurer contre la dépendance ?</w:t>
            </w:r>
            <w:r w:rsidR="00E17192" w:rsidRPr="00791F33">
              <w:rPr>
                <w:rFonts w:ascii="Calibri" w:hAnsi="Calibri" w:cs="Tahoma"/>
                <w:bCs/>
                <w:i/>
                <w:sz w:val="22"/>
                <w:szCs w:val="22"/>
              </w:rPr>
              <w:t>”</w:t>
            </w: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 </w:t>
            </w:r>
            <w:r w:rsidRPr="005645C5">
              <w:rPr>
                <w:rFonts w:ascii="Calibri" w:hAnsi="Calibri" w:cs="Tahoma"/>
                <w:bCs/>
                <w:i/>
                <w:sz w:val="22"/>
                <w:szCs w:val="22"/>
              </w:rPr>
              <w:t>avec F. Bien et A. Chassagnon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, Revue Française d’Economie, n°26, pp. 31-61, avril 2012</w:t>
            </w:r>
          </w:p>
        </w:tc>
      </w:tr>
      <w:tr w:rsidR="00E17192" w:rsidRPr="006D1B6D" w:rsidTr="00976DBC">
        <w:trPr>
          <w:trHeight w:val="306"/>
          <w:jc w:val="center"/>
        </w:trPr>
        <w:tc>
          <w:tcPr>
            <w:tcW w:w="1457" w:type="dxa"/>
          </w:tcPr>
          <w:p w:rsidR="00E17192" w:rsidRPr="005F6F15" w:rsidRDefault="00E17192" w:rsidP="0064242C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332" w:type="dxa"/>
            <w:gridSpan w:val="2"/>
            <w:vAlign w:val="center"/>
          </w:tcPr>
          <w:p w:rsidR="00E17192" w:rsidRPr="00791F33" w:rsidRDefault="00E3433B" w:rsidP="00616DA8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791F33">
              <w:rPr>
                <w:rFonts w:ascii="Calibri" w:hAnsi="Calibri" w:cs="Tahoma"/>
                <w:bCs/>
                <w:i/>
                <w:sz w:val="22"/>
                <w:szCs w:val="22"/>
              </w:rPr>
              <w:t>« Le marché de l’assurance dépendance », Risques n°78, Juin 2009</w:t>
            </w:r>
          </w:p>
        </w:tc>
      </w:tr>
      <w:tr w:rsidR="00E17192" w:rsidTr="00976DBC">
        <w:trPr>
          <w:trHeight w:val="306"/>
          <w:jc w:val="center"/>
        </w:trPr>
        <w:tc>
          <w:tcPr>
            <w:tcW w:w="1457" w:type="dxa"/>
          </w:tcPr>
          <w:p w:rsidR="00E17192" w:rsidRPr="005F6F15" w:rsidRDefault="00E17192" w:rsidP="0064242C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en-GB"/>
              </w:rPr>
            </w:pPr>
            <w:r w:rsidRPr="005F6F15"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en-GB"/>
              </w:rPr>
              <w:t>2007</w:t>
            </w:r>
          </w:p>
        </w:tc>
        <w:tc>
          <w:tcPr>
            <w:tcW w:w="9332" w:type="dxa"/>
            <w:gridSpan w:val="2"/>
            <w:vAlign w:val="center"/>
          </w:tcPr>
          <w:p w:rsidR="00E17192" w:rsidRPr="005F6F15" w:rsidRDefault="00E3433B" w:rsidP="00616DA8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E3433B">
              <w:rPr>
                <w:rFonts w:ascii="Calibri" w:hAnsi="Calibri" w:cs="Tahoma"/>
                <w:bCs/>
                <w:i/>
                <w:sz w:val="22"/>
                <w:szCs w:val="22"/>
              </w:rPr>
              <w:t>« L’assurabilité et la place des produits dépendance en France », Risques n°72, Décembre 2007</w:t>
            </w:r>
          </w:p>
        </w:tc>
      </w:tr>
      <w:tr w:rsidR="00616DA8" w:rsidTr="00976DBC">
        <w:trPr>
          <w:trHeight w:val="306"/>
          <w:jc w:val="center"/>
        </w:trPr>
        <w:tc>
          <w:tcPr>
            <w:tcW w:w="1457" w:type="dxa"/>
          </w:tcPr>
          <w:p w:rsidR="00616DA8" w:rsidRPr="00E3433B" w:rsidRDefault="00E3433B" w:rsidP="0064242C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9332" w:type="dxa"/>
            <w:gridSpan w:val="2"/>
            <w:vAlign w:val="center"/>
          </w:tcPr>
          <w:p w:rsidR="00616DA8" w:rsidRPr="00E3433B" w:rsidRDefault="00E3433B" w:rsidP="00616DA8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E3433B">
              <w:rPr>
                <w:rFonts w:ascii="Calibri" w:hAnsi="Calibri" w:cs="Tahoma"/>
                <w:bCs/>
                <w:i/>
                <w:sz w:val="22"/>
                <w:szCs w:val="22"/>
              </w:rPr>
              <w:t>« L'assurabilité de la garantie indemnitaire du risque dépendance »</w:t>
            </w:r>
            <w:r w:rsidR="002D4AA9">
              <w:rPr>
                <w:rFonts w:ascii="Calibri" w:hAnsi="Calibri" w:cs="Tahoma"/>
                <w:bCs/>
                <w:i/>
                <w:sz w:val="22"/>
                <w:szCs w:val="22"/>
              </w:rPr>
              <w:t>, Risques, n°71, Septembre 2007</w:t>
            </w:r>
            <w:r w:rsidRPr="00E3433B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 (avec Sébastien Nouet)</w:t>
            </w:r>
          </w:p>
        </w:tc>
      </w:tr>
      <w:tr w:rsidR="00E3433B" w:rsidTr="00976DBC">
        <w:trPr>
          <w:trHeight w:val="306"/>
          <w:jc w:val="center"/>
        </w:trPr>
        <w:tc>
          <w:tcPr>
            <w:tcW w:w="1457" w:type="dxa"/>
          </w:tcPr>
          <w:p w:rsidR="00E3433B" w:rsidRPr="00E3433B" w:rsidRDefault="00E3433B" w:rsidP="0064242C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9332" w:type="dxa"/>
            <w:gridSpan w:val="2"/>
            <w:vAlign w:val="center"/>
          </w:tcPr>
          <w:p w:rsidR="00E3433B" w:rsidRPr="00E3433B" w:rsidRDefault="00E3433B" w:rsidP="00616DA8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E3433B">
              <w:rPr>
                <w:rFonts w:ascii="Calibri" w:hAnsi="Calibri" w:cs="Tahoma"/>
                <w:bCs/>
                <w:i/>
                <w:sz w:val="22"/>
                <w:szCs w:val="22"/>
              </w:rPr>
              <w:t>« Structuration du portefeuille dépendance de l’assureur »</w:t>
            </w:r>
            <w:r w:rsidR="002D4AA9">
              <w:rPr>
                <w:rFonts w:ascii="Calibri" w:hAnsi="Calibri" w:cs="Tahoma"/>
                <w:bCs/>
                <w:i/>
                <w:sz w:val="22"/>
                <w:szCs w:val="22"/>
              </w:rPr>
              <w:t>, Risques, n°67, Septembre 2006</w:t>
            </w:r>
            <w:r w:rsidRPr="00E3433B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(avec Sébastien Nouet)</w:t>
            </w:r>
          </w:p>
        </w:tc>
      </w:tr>
      <w:tr w:rsidR="00E3433B" w:rsidTr="00976DBC">
        <w:trPr>
          <w:trHeight w:val="306"/>
          <w:jc w:val="center"/>
        </w:trPr>
        <w:tc>
          <w:tcPr>
            <w:tcW w:w="1457" w:type="dxa"/>
          </w:tcPr>
          <w:p w:rsidR="00E3433B" w:rsidRPr="00E3433B" w:rsidRDefault="00E3433B" w:rsidP="0064242C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9332" w:type="dxa"/>
            <w:gridSpan w:val="2"/>
            <w:vAlign w:val="center"/>
          </w:tcPr>
          <w:p w:rsidR="00E3433B" w:rsidRPr="00E3433B" w:rsidRDefault="00E3433B" w:rsidP="00616DA8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E3433B">
              <w:rPr>
                <w:rFonts w:ascii="Calibri" w:hAnsi="Calibri" w:cs="Tahoma"/>
                <w:bCs/>
                <w:i/>
                <w:sz w:val="22"/>
                <w:szCs w:val="22"/>
              </w:rPr>
              <w:t>« Quelles stratégies des entreprises américaines face au risque santé ? », Risques, n°62, Septembre 2005. (avec Mathieu Baratas)</w:t>
            </w:r>
          </w:p>
        </w:tc>
      </w:tr>
      <w:tr w:rsidR="00E3433B" w:rsidTr="00976DBC">
        <w:trPr>
          <w:trHeight w:val="306"/>
          <w:jc w:val="center"/>
        </w:trPr>
        <w:tc>
          <w:tcPr>
            <w:tcW w:w="1457" w:type="dxa"/>
          </w:tcPr>
          <w:p w:rsidR="00E3433B" w:rsidRPr="00E3433B" w:rsidRDefault="00E3433B" w:rsidP="0064242C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9332" w:type="dxa"/>
            <w:gridSpan w:val="2"/>
            <w:vAlign w:val="center"/>
          </w:tcPr>
          <w:p w:rsidR="00E3433B" w:rsidRPr="00E3433B" w:rsidRDefault="00E3433B" w:rsidP="00616DA8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E3433B">
              <w:rPr>
                <w:rFonts w:ascii="Calibri" w:hAnsi="Calibri" w:cs="Tahoma"/>
                <w:bCs/>
                <w:i/>
                <w:sz w:val="22"/>
                <w:szCs w:val="22"/>
              </w:rPr>
              <w:t>« Dépendance : le nécessaire équilibre public – privé », Risques, n°55, Septembre 2003</w:t>
            </w:r>
          </w:p>
        </w:tc>
      </w:tr>
      <w:tr w:rsidR="00616DA8" w:rsidRPr="00CC0DDA" w:rsidTr="008D0352">
        <w:trPr>
          <w:trHeight w:val="355"/>
          <w:jc w:val="center"/>
        </w:trPr>
        <w:tc>
          <w:tcPr>
            <w:tcW w:w="10789" w:type="dxa"/>
            <w:gridSpan w:val="3"/>
            <w:vAlign w:val="bottom"/>
          </w:tcPr>
          <w:p w:rsidR="00616DA8" w:rsidRPr="005F6F15" w:rsidRDefault="00616DA8" w:rsidP="008D0352">
            <w:pPr>
              <w:jc w:val="both"/>
              <w:rPr>
                <w:rFonts w:ascii="Calibri" w:hAnsi="Calibri"/>
                <w:b/>
                <w:i/>
                <w:noProof/>
                <w:color w:val="000000"/>
                <w:u w:val="single"/>
              </w:rPr>
            </w:pPr>
            <w:r>
              <w:rPr>
                <w:rFonts w:ascii="Calibri" w:hAnsi="Calibri"/>
                <w:b/>
                <w:i/>
                <w:noProof/>
                <w:color w:val="000000"/>
                <w:u w:val="single"/>
              </w:rPr>
              <w:t>Ouvrages</w:t>
            </w:r>
          </w:p>
        </w:tc>
      </w:tr>
      <w:tr w:rsidR="00616DA8" w:rsidRPr="00011D7D" w:rsidTr="008D0352">
        <w:trPr>
          <w:trHeight w:val="306"/>
          <w:jc w:val="center"/>
        </w:trPr>
        <w:tc>
          <w:tcPr>
            <w:tcW w:w="1457" w:type="dxa"/>
            <w:vAlign w:val="center"/>
          </w:tcPr>
          <w:p w:rsidR="00616DA8" w:rsidRPr="00E3433B" w:rsidRDefault="00616DA8" w:rsidP="008D0352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E3433B"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332" w:type="dxa"/>
            <w:gridSpan w:val="2"/>
            <w:vAlign w:val="center"/>
          </w:tcPr>
          <w:p w:rsidR="00616DA8" w:rsidRPr="00242926" w:rsidRDefault="00242926" w:rsidP="00616DA8">
            <w:pPr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  <w:lang w:val="en-US"/>
              </w:rPr>
            </w:pPr>
            <w:r w:rsidRPr="00242926">
              <w:rPr>
                <w:rFonts w:ascii="Calibri" w:hAnsi="Calibri" w:cs="Tahoma"/>
                <w:bCs/>
                <w:color w:val="000000"/>
                <w:sz w:val="22"/>
                <w:szCs w:val="22"/>
                <w:lang w:val="en-US"/>
              </w:rPr>
              <w:t>« Long-Term Financing Care in France » avec Christophe Courbage, in Financing Long-Term Care in Europe : Institutions, Markets and Models ed. C. Courbage et J. Costa-Font, Palgrave McMillan, 2011</w:t>
            </w:r>
          </w:p>
        </w:tc>
      </w:tr>
      <w:tr w:rsidR="00616DA8" w:rsidRPr="00242926" w:rsidTr="00976DBC">
        <w:trPr>
          <w:trHeight w:val="306"/>
          <w:jc w:val="center"/>
        </w:trPr>
        <w:tc>
          <w:tcPr>
            <w:tcW w:w="1457" w:type="dxa"/>
          </w:tcPr>
          <w:p w:rsidR="00616DA8" w:rsidRPr="00463FE7" w:rsidRDefault="00242926" w:rsidP="0064242C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en-US"/>
              </w:rPr>
              <w:t>2003</w:t>
            </w:r>
          </w:p>
        </w:tc>
        <w:tc>
          <w:tcPr>
            <w:tcW w:w="9332" w:type="dxa"/>
            <w:gridSpan w:val="2"/>
            <w:vAlign w:val="center"/>
          </w:tcPr>
          <w:p w:rsidR="00616DA8" w:rsidRPr="00242926" w:rsidRDefault="00242926" w:rsidP="00616DA8">
            <w:pPr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242926">
              <w:rPr>
                <w:rFonts w:ascii="Calibri" w:hAnsi="Calibri" w:cs="Tahoma"/>
                <w:bCs/>
                <w:sz w:val="22"/>
                <w:szCs w:val="22"/>
              </w:rPr>
              <w:t>« Langues comptables et filière du chiffre », in Les normes comptables et le monde post-Enron, Rapport du Conseil d’Analyse Economique, n°42, La Documentation française, 2003</w:t>
            </w:r>
          </w:p>
        </w:tc>
      </w:tr>
      <w:tr w:rsidR="00616DA8" w:rsidRPr="00242926" w:rsidTr="00976DBC">
        <w:trPr>
          <w:trHeight w:val="306"/>
          <w:jc w:val="center"/>
        </w:trPr>
        <w:tc>
          <w:tcPr>
            <w:tcW w:w="1457" w:type="dxa"/>
          </w:tcPr>
          <w:p w:rsidR="00616DA8" w:rsidRPr="00242926" w:rsidRDefault="00616DA8" w:rsidP="0064242C">
            <w:pPr>
              <w:spacing w:line="15" w:lineRule="atLeast"/>
              <w:jc w:val="right"/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332" w:type="dxa"/>
            <w:gridSpan w:val="2"/>
            <w:vAlign w:val="center"/>
          </w:tcPr>
          <w:p w:rsidR="00616DA8" w:rsidRPr="00242926" w:rsidRDefault="00616DA8" w:rsidP="00616DA8">
            <w:pPr>
              <w:jc w:val="both"/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</w:pPr>
          </w:p>
        </w:tc>
      </w:tr>
      <w:tr w:rsidR="009B21AC" w:rsidRPr="00CC0DDA" w:rsidTr="0042748F">
        <w:trPr>
          <w:trHeight w:val="355"/>
          <w:jc w:val="center"/>
        </w:trPr>
        <w:tc>
          <w:tcPr>
            <w:tcW w:w="10789" w:type="dxa"/>
            <w:gridSpan w:val="3"/>
            <w:vAlign w:val="bottom"/>
          </w:tcPr>
          <w:p w:rsidR="009B21AC" w:rsidRPr="005F6F15" w:rsidRDefault="009B21AC" w:rsidP="00EF41DB">
            <w:pPr>
              <w:jc w:val="both"/>
              <w:rPr>
                <w:rFonts w:ascii="Calibri" w:hAnsi="Calibri"/>
                <w:b/>
                <w:i/>
                <w:noProof/>
                <w:color w:val="000000"/>
                <w:u w:val="single"/>
              </w:rPr>
            </w:pPr>
            <w:r w:rsidRPr="005F6F15">
              <w:rPr>
                <w:rFonts w:ascii="Calibri" w:hAnsi="Calibri"/>
                <w:b/>
                <w:i/>
                <w:noProof/>
                <w:color w:val="000000"/>
                <w:u w:val="single"/>
              </w:rPr>
              <w:t>Document</w:t>
            </w:r>
            <w:r w:rsidR="008D5E52" w:rsidRPr="005F6F15">
              <w:rPr>
                <w:rFonts w:ascii="Calibri" w:hAnsi="Calibri"/>
                <w:b/>
                <w:i/>
                <w:noProof/>
                <w:color w:val="000000"/>
                <w:u w:val="single"/>
              </w:rPr>
              <w:t>s</w:t>
            </w:r>
            <w:r w:rsidRPr="005F6F15">
              <w:rPr>
                <w:rFonts w:ascii="Calibri" w:hAnsi="Calibri"/>
                <w:b/>
                <w:i/>
                <w:noProof/>
                <w:color w:val="000000"/>
                <w:u w:val="single"/>
              </w:rPr>
              <w:t xml:space="preserve"> de travail et travaux en cours</w:t>
            </w:r>
          </w:p>
        </w:tc>
      </w:tr>
      <w:tr w:rsidR="009B21AC" w:rsidRPr="005645C5" w:rsidTr="00976DBC">
        <w:trPr>
          <w:trHeight w:val="306"/>
          <w:jc w:val="center"/>
        </w:trPr>
        <w:tc>
          <w:tcPr>
            <w:tcW w:w="1457" w:type="dxa"/>
            <w:vAlign w:val="center"/>
          </w:tcPr>
          <w:p w:rsidR="009B21AC" w:rsidRPr="00E3433B" w:rsidRDefault="006A3661" w:rsidP="006A3661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E3433B"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201</w:t>
            </w:r>
            <w:r w:rsidR="005645C5" w:rsidRPr="00E3433B">
              <w:rPr>
                <w:rFonts w:ascii="Calibri" w:hAnsi="Calibri" w:cs="Tahoma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332" w:type="dxa"/>
            <w:gridSpan w:val="2"/>
            <w:vAlign w:val="center"/>
          </w:tcPr>
          <w:p w:rsidR="009B21AC" w:rsidRPr="00215FEE" w:rsidRDefault="005645C5" w:rsidP="00464DF9">
            <w:pPr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  <w:r w:rsidRPr="00215FE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E</w:t>
            </w:r>
            <w:r w:rsidR="00215FEE" w:rsidRPr="00215FE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>tude sur l’enquête Pated financé</w:t>
            </w:r>
            <w:r w:rsidRPr="00215FEE">
              <w:rPr>
                <w:rFonts w:ascii="Calibri" w:hAnsi="Calibri" w:cs="Tahoma"/>
                <w:bCs/>
                <w:color w:val="000000"/>
                <w:sz w:val="22"/>
                <w:szCs w:val="22"/>
              </w:rPr>
              <w:t xml:space="preserve"> par la Fondation médéric Alzheimer</w:t>
            </w:r>
          </w:p>
        </w:tc>
      </w:tr>
      <w:tr w:rsidR="00440592" w:rsidRPr="005645C5" w:rsidTr="00976DBC">
        <w:trPr>
          <w:trHeight w:val="306"/>
          <w:jc w:val="center"/>
        </w:trPr>
        <w:tc>
          <w:tcPr>
            <w:tcW w:w="1457" w:type="dxa"/>
            <w:vAlign w:val="center"/>
          </w:tcPr>
          <w:p w:rsidR="00440592" w:rsidRPr="005F6F15" w:rsidRDefault="00440592" w:rsidP="006A3661">
            <w:pPr>
              <w:jc w:val="right"/>
              <w:rPr>
                <w:rFonts w:ascii="Calibri" w:hAnsi="Calibri" w:cs="Tahoma"/>
                <w:b/>
                <w:i/>
                <w:color w:val="000000"/>
              </w:rPr>
            </w:pPr>
          </w:p>
        </w:tc>
        <w:tc>
          <w:tcPr>
            <w:tcW w:w="9332" w:type="dxa"/>
            <w:gridSpan w:val="2"/>
            <w:vAlign w:val="center"/>
          </w:tcPr>
          <w:p w:rsidR="00440592" w:rsidRPr="00215FEE" w:rsidRDefault="00440592" w:rsidP="00464DF9">
            <w:pPr>
              <w:jc w:val="both"/>
              <w:rPr>
                <w:rFonts w:ascii="Calibri" w:hAnsi="Calibri" w:cs="Tahoma"/>
                <w:bCs/>
                <w:color w:val="000000"/>
                <w:sz w:val="22"/>
                <w:szCs w:val="22"/>
              </w:rPr>
            </w:pPr>
          </w:p>
        </w:tc>
      </w:tr>
      <w:tr w:rsidR="00976DBC" w:rsidRPr="00043058" w:rsidTr="00CC5207">
        <w:trPr>
          <w:trHeight w:val="306"/>
          <w:jc w:val="center"/>
        </w:trPr>
        <w:tc>
          <w:tcPr>
            <w:tcW w:w="10789" w:type="dxa"/>
            <w:gridSpan w:val="3"/>
          </w:tcPr>
          <w:p w:rsidR="00976DBC" w:rsidRPr="00781AE2" w:rsidRDefault="00976DBC" w:rsidP="00EF41DB">
            <w:pPr>
              <w:jc w:val="both"/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noProof/>
                <w:color w:val="000000"/>
                <w:u w:val="single"/>
              </w:rPr>
              <w:t>Revues et presse professionnelle</w:t>
            </w:r>
          </w:p>
        </w:tc>
      </w:tr>
      <w:tr w:rsidR="00D50566" w:rsidRPr="00043058" w:rsidTr="00976DBC">
        <w:trPr>
          <w:trHeight w:val="306"/>
          <w:jc w:val="center"/>
        </w:trPr>
        <w:tc>
          <w:tcPr>
            <w:tcW w:w="1457" w:type="dxa"/>
          </w:tcPr>
          <w:p w:rsidR="00D50566" w:rsidRPr="00E3433B" w:rsidRDefault="0083540F" w:rsidP="00BB2B36">
            <w:pPr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3433B">
              <w:rPr>
                <w:rFonts w:ascii="Calibri" w:hAnsi="Calibri"/>
                <w:b/>
                <w:i/>
                <w:sz w:val="22"/>
                <w:szCs w:val="22"/>
              </w:rPr>
              <w:t>22/11</w:t>
            </w:r>
            <w:r w:rsidR="00440592" w:rsidRPr="00E3433B"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r w:rsidRPr="00E3433B">
              <w:rPr>
                <w:rFonts w:ascii="Calibri" w:hAnsi="Calibri"/>
                <w:b/>
                <w:i/>
                <w:sz w:val="22"/>
                <w:szCs w:val="22"/>
              </w:rPr>
              <w:t>2011</w:t>
            </w:r>
          </w:p>
        </w:tc>
        <w:tc>
          <w:tcPr>
            <w:tcW w:w="9332" w:type="dxa"/>
            <w:gridSpan w:val="2"/>
            <w:vAlign w:val="center"/>
          </w:tcPr>
          <w:p w:rsidR="00D50566" w:rsidRPr="00242926" w:rsidRDefault="00440592" w:rsidP="0083540F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L</w:t>
            </w:r>
            <w:r w:rsidR="0083540F" w:rsidRPr="0044059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eMonde.fr</w:t>
            </w:r>
            <w:r w:rsidR="002D4AA9" w:rsidRPr="002D4AA9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-</w:t>
            </w:r>
            <w:r w:rsidR="0083540F" w:rsidRPr="00242926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</w:t>
            </w:r>
            <w:r w:rsidR="002D4AA9">
              <w:rPr>
                <w:rFonts w:ascii="Calibri" w:hAnsi="Calibri" w:cs="Tahoma"/>
                <w:bCs/>
                <w:i/>
                <w:sz w:val="22"/>
                <w:szCs w:val="22"/>
              </w:rPr>
              <w:t>« </w:t>
            </w:r>
            <w:r w:rsidR="00BB2B36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</w:t>
            </w:r>
            <w:r w:rsidR="0069533B" w:rsidRPr="00242926">
              <w:rPr>
                <w:rFonts w:ascii="Calibri" w:hAnsi="Calibri" w:cs="Tahoma"/>
                <w:bCs/>
                <w:i/>
                <w:sz w:val="22"/>
                <w:szCs w:val="22"/>
              </w:rPr>
              <w:t>Les jeunes doivent-ils payer pour les vieux dépendants ?</w:t>
            </w:r>
            <w:r w:rsidR="002D4AA9">
              <w:rPr>
                <w:rFonts w:ascii="Calibri" w:hAnsi="Calibri" w:cs="Tahoma"/>
                <w:bCs/>
                <w:i/>
                <w:sz w:val="22"/>
                <w:szCs w:val="22"/>
              </w:rPr>
              <w:t> »</w:t>
            </w:r>
          </w:p>
        </w:tc>
      </w:tr>
      <w:tr w:rsidR="007C35F3" w:rsidRPr="00481DBF" w:rsidTr="00976DBC">
        <w:trPr>
          <w:trHeight w:val="306"/>
          <w:jc w:val="center"/>
        </w:trPr>
        <w:tc>
          <w:tcPr>
            <w:tcW w:w="1457" w:type="dxa"/>
          </w:tcPr>
          <w:p w:rsidR="007C35F3" w:rsidRPr="00E3433B" w:rsidRDefault="0083540F" w:rsidP="00BB2B36">
            <w:pPr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3433B">
              <w:rPr>
                <w:rFonts w:ascii="Calibri" w:hAnsi="Calibri"/>
                <w:b/>
                <w:i/>
                <w:sz w:val="22"/>
                <w:szCs w:val="22"/>
              </w:rPr>
              <w:t>Avril 2011</w:t>
            </w:r>
          </w:p>
        </w:tc>
        <w:tc>
          <w:tcPr>
            <w:tcW w:w="9332" w:type="dxa"/>
            <w:gridSpan w:val="2"/>
            <w:vAlign w:val="center"/>
          </w:tcPr>
          <w:p w:rsidR="007C35F3" w:rsidRPr="002D4AA9" w:rsidRDefault="007C35F3" w:rsidP="0083540F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  <w:lang w:val="en-US"/>
              </w:rPr>
            </w:pPr>
            <w:r w:rsidRPr="002D4AA9">
              <w:rPr>
                <w:rFonts w:ascii="Calibri" w:hAnsi="Calibri" w:cs="Tahoma"/>
                <w:b/>
                <w:bCs/>
                <w:i/>
                <w:sz w:val="22"/>
                <w:szCs w:val="22"/>
                <w:lang w:val="en-US"/>
              </w:rPr>
              <w:t>SCOR Papers</w:t>
            </w:r>
            <w:r w:rsidR="0083540F" w:rsidRPr="002D4AA9">
              <w:rPr>
                <w:rFonts w:ascii="Calibri" w:hAnsi="Calibri" w:cs="Tahoma"/>
                <w:b/>
                <w:bCs/>
                <w:i/>
                <w:sz w:val="22"/>
                <w:szCs w:val="22"/>
                <w:lang w:val="en-US"/>
              </w:rPr>
              <w:t xml:space="preserve"> n°15</w:t>
            </w:r>
            <w:r w:rsidR="002D4AA9">
              <w:rPr>
                <w:rFonts w:ascii="Calibri" w:hAnsi="Calibri" w:cs="Tahoma"/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2D4AA9" w:rsidRPr="002D4AA9">
              <w:rPr>
                <w:rFonts w:ascii="Calibri" w:hAnsi="Calibri" w:cs="Tahoma"/>
                <w:bCs/>
                <w:i/>
                <w:sz w:val="22"/>
                <w:szCs w:val="22"/>
                <w:lang w:val="en-US"/>
              </w:rPr>
              <w:t>-</w:t>
            </w:r>
            <w:r w:rsidR="0083540F" w:rsidRPr="002D4AA9">
              <w:rPr>
                <w:rFonts w:ascii="Calibri" w:hAnsi="Calibri" w:cs="Tahoma"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2D4AA9" w:rsidRPr="002D4AA9">
              <w:rPr>
                <w:rFonts w:ascii="Calibri" w:hAnsi="Calibri" w:cs="Tahoma"/>
                <w:bCs/>
                <w:i/>
                <w:sz w:val="22"/>
                <w:szCs w:val="22"/>
                <w:lang w:val="en-US"/>
              </w:rPr>
              <w:t>« </w:t>
            </w:r>
            <w:r w:rsidR="0083540F" w:rsidRPr="002D4AA9">
              <w:rPr>
                <w:rFonts w:ascii="Calibri" w:hAnsi="Calibri" w:cs="Tahoma"/>
                <w:bCs/>
                <w:i/>
                <w:sz w:val="22"/>
                <w:szCs w:val="22"/>
                <w:lang w:val="en-US"/>
              </w:rPr>
              <w:t>Why do the French not take out more long-term care cover?</w:t>
            </w:r>
            <w:r w:rsidR="002D4AA9" w:rsidRPr="002D4AA9">
              <w:rPr>
                <w:rFonts w:ascii="Calibri" w:hAnsi="Calibri" w:cs="Tahoma"/>
                <w:bCs/>
                <w:i/>
                <w:sz w:val="22"/>
                <w:szCs w:val="22"/>
                <w:lang w:val="en-US"/>
              </w:rPr>
              <w:t xml:space="preserve"> »</w:t>
            </w:r>
          </w:p>
        </w:tc>
      </w:tr>
      <w:tr w:rsidR="00976DBC" w:rsidRPr="00043058" w:rsidTr="00976DBC">
        <w:trPr>
          <w:trHeight w:val="306"/>
          <w:jc w:val="center"/>
        </w:trPr>
        <w:tc>
          <w:tcPr>
            <w:tcW w:w="1457" w:type="dxa"/>
          </w:tcPr>
          <w:p w:rsidR="00976DBC" w:rsidRPr="002D4AA9" w:rsidRDefault="00440592" w:rsidP="00BB2B36">
            <w:pPr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D4AA9">
              <w:rPr>
                <w:rFonts w:ascii="Calibri" w:hAnsi="Calibri"/>
                <w:b/>
                <w:i/>
                <w:sz w:val="22"/>
                <w:szCs w:val="22"/>
              </w:rPr>
              <w:t>Oct. 2011</w:t>
            </w:r>
          </w:p>
        </w:tc>
        <w:tc>
          <w:tcPr>
            <w:tcW w:w="9332" w:type="dxa"/>
            <w:gridSpan w:val="2"/>
            <w:vAlign w:val="center"/>
          </w:tcPr>
          <w:p w:rsidR="00976DBC" w:rsidRPr="00242926" w:rsidRDefault="00976DBC" w:rsidP="00EF41DB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4059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L’actuariel</w:t>
            </w:r>
            <w:r w:rsidR="00BB2B36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 </w:t>
            </w:r>
            <w:r w:rsidR="0044059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n°2</w:t>
            </w:r>
            <w:r w:rsidR="0083540F" w:rsidRPr="0044059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, interview</w:t>
            </w:r>
            <w:r w:rsidR="0083540F">
              <w:rPr>
                <w:rFonts w:ascii="Calibri" w:hAnsi="Calibri" w:cs="Tahoma"/>
                <w:bCs/>
                <w:i/>
                <w:sz w:val="22"/>
                <w:szCs w:val="22"/>
              </w:rPr>
              <w:t> </w:t>
            </w:r>
            <w:r w:rsidR="00BB2B36">
              <w:rPr>
                <w:rFonts w:ascii="Calibri" w:hAnsi="Calibri" w:cs="Tahoma"/>
                <w:bCs/>
                <w:i/>
                <w:sz w:val="22"/>
                <w:szCs w:val="22"/>
              </w:rPr>
              <w:t>-</w:t>
            </w:r>
            <w:r w:rsidR="0083540F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« La vraie question sur la dépendance est celle de la répartition des richesses entre générations »</w:t>
            </w:r>
          </w:p>
        </w:tc>
      </w:tr>
      <w:tr w:rsidR="00976DBC" w:rsidRPr="00043058" w:rsidTr="00976DBC">
        <w:trPr>
          <w:trHeight w:val="306"/>
          <w:jc w:val="center"/>
        </w:trPr>
        <w:tc>
          <w:tcPr>
            <w:tcW w:w="1457" w:type="dxa"/>
          </w:tcPr>
          <w:p w:rsidR="00976DBC" w:rsidRPr="00E3433B" w:rsidRDefault="00BB2B36" w:rsidP="00BB2B36">
            <w:pPr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3433B">
              <w:rPr>
                <w:rFonts w:ascii="Calibri" w:hAnsi="Calibri"/>
                <w:b/>
                <w:i/>
                <w:sz w:val="22"/>
                <w:szCs w:val="22"/>
              </w:rPr>
              <w:t>Juin 2011</w:t>
            </w:r>
          </w:p>
        </w:tc>
        <w:tc>
          <w:tcPr>
            <w:tcW w:w="9332" w:type="dxa"/>
            <w:gridSpan w:val="2"/>
            <w:vAlign w:val="center"/>
          </w:tcPr>
          <w:p w:rsidR="00976DBC" w:rsidRPr="00242926" w:rsidRDefault="00BB2B36" w:rsidP="00EF41DB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BB2B36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Le lien (</w:t>
            </w:r>
            <w:r w:rsidR="00976DBC" w:rsidRPr="00BB2B36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ADMR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) - interview</w:t>
            </w:r>
          </w:p>
        </w:tc>
      </w:tr>
      <w:tr w:rsidR="00976DBC" w:rsidRPr="00043058" w:rsidTr="00976DBC">
        <w:trPr>
          <w:trHeight w:val="306"/>
          <w:jc w:val="center"/>
        </w:trPr>
        <w:tc>
          <w:tcPr>
            <w:tcW w:w="1457" w:type="dxa"/>
          </w:tcPr>
          <w:p w:rsidR="00976DBC" w:rsidRPr="00E3433B" w:rsidRDefault="00BB2B36" w:rsidP="00DF0E37">
            <w:pPr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3433B">
              <w:rPr>
                <w:rFonts w:ascii="Calibri" w:hAnsi="Calibri"/>
                <w:b/>
                <w:i/>
                <w:sz w:val="22"/>
                <w:szCs w:val="22"/>
              </w:rPr>
              <w:t>16/01/2004</w:t>
            </w:r>
          </w:p>
        </w:tc>
        <w:tc>
          <w:tcPr>
            <w:tcW w:w="9332" w:type="dxa"/>
            <w:gridSpan w:val="2"/>
            <w:vAlign w:val="center"/>
          </w:tcPr>
          <w:p w:rsidR="00976DBC" w:rsidRPr="00242926" w:rsidRDefault="009B0624" w:rsidP="00EF41DB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BB2B36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L’argus de l’assurance</w:t>
            </w:r>
            <w:r w:rsidR="00BB2B36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 n°6864</w:t>
            </w:r>
            <w:r w:rsidR="00BB2B36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- </w:t>
            </w:r>
            <w:r w:rsidR="00BB2B36" w:rsidRPr="00BB2B36">
              <w:rPr>
                <w:rFonts w:ascii="Calibri" w:hAnsi="Calibri" w:cs="Tahoma"/>
                <w:bCs/>
                <w:i/>
                <w:sz w:val="22"/>
                <w:szCs w:val="22"/>
              </w:rPr>
              <w:t>« L’Etat ne se désengagera pas »,</w:t>
            </w:r>
          </w:p>
        </w:tc>
      </w:tr>
      <w:tr w:rsidR="00976DBC" w:rsidRPr="00043058" w:rsidTr="00976DBC">
        <w:trPr>
          <w:trHeight w:val="306"/>
          <w:jc w:val="center"/>
        </w:trPr>
        <w:tc>
          <w:tcPr>
            <w:tcW w:w="1457" w:type="dxa"/>
          </w:tcPr>
          <w:p w:rsidR="00976DBC" w:rsidRPr="00E3433B" w:rsidRDefault="00BB2B36" w:rsidP="00DF0E37">
            <w:pPr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3433B">
              <w:rPr>
                <w:rFonts w:ascii="Calibri" w:hAnsi="Calibri"/>
                <w:b/>
                <w:i/>
                <w:sz w:val="22"/>
                <w:szCs w:val="22"/>
              </w:rPr>
              <w:t>Oct. 2003</w:t>
            </w:r>
          </w:p>
        </w:tc>
        <w:tc>
          <w:tcPr>
            <w:tcW w:w="9332" w:type="dxa"/>
            <w:gridSpan w:val="2"/>
            <w:vAlign w:val="center"/>
          </w:tcPr>
          <w:p w:rsidR="00976DBC" w:rsidRPr="00BB2B36" w:rsidRDefault="00BB2B36" w:rsidP="00EF41DB">
            <w:pPr>
              <w:jc w:val="both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BB2B36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Horizons Bancaires, n°318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-</w:t>
            </w:r>
            <w:r w:rsidRPr="00BB2B36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« Les Assureurs et l’Europe », avec S. Oppenchaim</w:t>
            </w:r>
          </w:p>
        </w:tc>
      </w:tr>
      <w:tr w:rsidR="00727A84" w:rsidRPr="00AB224B" w:rsidTr="0042748F">
        <w:trPr>
          <w:trHeight w:val="526"/>
          <w:jc w:val="center"/>
        </w:trPr>
        <w:tc>
          <w:tcPr>
            <w:tcW w:w="10789" w:type="dxa"/>
            <w:gridSpan w:val="3"/>
          </w:tcPr>
          <w:p w:rsidR="000C0548" w:rsidRPr="000C0548" w:rsidRDefault="000C0548" w:rsidP="0064242C">
            <w:pPr>
              <w:rPr>
                <w:rFonts w:ascii="Calibri" w:hAnsi="Calibri"/>
                <w:b/>
                <w:i/>
                <w:color w:val="000000"/>
                <w:u w:val="single"/>
              </w:rPr>
            </w:pPr>
          </w:p>
          <w:p w:rsidR="00727A84" w:rsidRPr="005F6F15" w:rsidRDefault="00727A84" w:rsidP="0064242C">
            <w:pPr>
              <w:rPr>
                <w:rFonts w:ascii="Calibri" w:hAnsi="Calibri"/>
                <w:b/>
                <w:i/>
                <w:color w:val="6600FF"/>
                <w:sz w:val="26"/>
                <w:szCs w:val="26"/>
                <w:u w:val="single"/>
              </w:rPr>
            </w:pPr>
            <w:r w:rsidRPr="00FD0561">
              <w:rPr>
                <w:rFonts w:ascii="Calibri" w:hAnsi="Calibri"/>
                <w:b/>
                <w:i/>
                <w:color w:val="000000"/>
                <w:sz w:val="36"/>
                <w:szCs w:val="36"/>
                <w:u w:val="single"/>
              </w:rPr>
              <w:t>C</w:t>
            </w:r>
            <w:r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>onférences et séminaires</w:t>
            </w:r>
            <w:r w:rsidR="00FE72F6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                </w:t>
            </w:r>
            <w:r w:rsidR="006A3661"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</w:t>
            </w:r>
            <w:r w:rsidR="006A3661" w:rsidRPr="005F6F15">
              <w:rPr>
                <w:rFonts w:ascii="Calibri" w:hAnsi="Calibri"/>
                <w:b/>
                <w:i/>
                <w:color w:val="FFFFFF"/>
                <w:sz w:val="26"/>
                <w:szCs w:val="26"/>
                <w:u w:val="single"/>
              </w:rPr>
              <w:t>.</w:t>
            </w:r>
          </w:p>
        </w:tc>
      </w:tr>
      <w:tr w:rsid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727A84" w:rsidRPr="005F6F15" w:rsidRDefault="00727A84" w:rsidP="0083540F">
            <w:pPr>
              <w:ind w:firstLine="326"/>
              <w:rPr>
                <w:rFonts w:ascii="Calibri" w:hAnsi="Calibri"/>
                <w:b/>
                <w:i/>
                <w:color w:val="000000"/>
                <w:u w:val="single"/>
              </w:rPr>
            </w:pPr>
            <w:r w:rsidRPr="005F6F15">
              <w:rPr>
                <w:rFonts w:ascii="Calibri" w:hAnsi="Calibri" w:cs="Tahoma"/>
                <w:b/>
                <w:i/>
                <w:color w:val="000000"/>
                <w:u w:val="single"/>
              </w:rPr>
              <w:t>Présentations à des conférences</w:t>
            </w:r>
          </w:p>
        </w:tc>
      </w:tr>
      <w:tr w:rsidR="000C0548" w:rsidRPr="00481DBF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0C0548" w:rsidRPr="000C0548" w:rsidRDefault="000C0548" w:rsidP="00976DBC">
            <w:pPr>
              <w:numPr>
                <w:ilvl w:val="0"/>
                <w:numId w:val="4"/>
              </w:numPr>
              <w:tabs>
                <w:tab w:val="clear" w:pos="284"/>
                <w:tab w:val="num" w:pos="931"/>
              </w:tabs>
              <w:ind w:left="751" w:firstLine="0"/>
              <w:jc w:val="both"/>
              <w:rPr>
                <w:rFonts w:ascii="Calibri" w:hAnsi="Calibri" w:cs="Tahoma"/>
                <w:i/>
                <w:sz w:val="22"/>
                <w:szCs w:val="22"/>
                <w:lang w:val="en-US"/>
              </w:rPr>
            </w:pPr>
            <w:r w:rsidRPr="000C0548">
              <w:rPr>
                <w:rFonts w:ascii="Calibri" w:hAnsi="Calibri" w:cs="Tahoma"/>
                <w:i/>
                <w:sz w:val="22"/>
                <w:szCs w:val="22"/>
                <w:lang w:val="en-US"/>
              </w:rPr>
              <w:t>ECHE 2012 « </w:t>
            </w:r>
            <w:r>
              <w:rPr>
                <w:rFonts w:ascii="Calibri" w:hAnsi="Calibri" w:cs="Tahoma"/>
                <w:i/>
                <w:sz w:val="22"/>
                <w:szCs w:val="22"/>
                <w:lang w:val="en-US"/>
              </w:rPr>
              <w:t>Adverse Selection and D</w:t>
            </w:r>
            <w:r w:rsidRPr="000C0548">
              <w:rPr>
                <w:rFonts w:ascii="Calibri" w:hAnsi="Calibri" w:cs="Tahoma"/>
                <w:i/>
                <w:sz w:val="22"/>
                <w:szCs w:val="22"/>
                <w:lang w:val="en-US"/>
              </w:rPr>
              <w:t>emand for Long Term Care Insurance in France »</w:t>
            </w:r>
          </w:p>
        </w:tc>
      </w:tr>
      <w:tr w:rsidR="000C0548" w:rsidRPr="00201718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0C0548" w:rsidRPr="00232E05" w:rsidRDefault="000C0548" w:rsidP="00976DBC">
            <w:pPr>
              <w:numPr>
                <w:ilvl w:val="0"/>
                <w:numId w:val="4"/>
              </w:numPr>
              <w:tabs>
                <w:tab w:val="clear" w:pos="284"/>
                <w:tab w:val="num" w:pos="931"/>
              </w:tabs>
              <w:ind w:left="751" w:firstLine="0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AFSE 2012 « Est-il rationnel de ne pas s’assurer contre la dépendance ? »</w:t>
            </w:r>
          </w:p>
        </w:tc>
      </w:tr>
      <w:tr w:rsidR="00075AD9" w:rsidRPr="00201718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075AD9" w:rsidRPr="00232E05" w:rsidRDefault="006D1B6D" w:rsidP="00976DBC">
            <w:pPr>
              <w:numPr>
                <w:ilvl w:val="0"/>
                <w:numId w:val="4"/>
              </w:numPr>
              <w:tabs>
                <w:tab w:val="clear" w:pos="284"/>
                <w:tab w:val="num" w:pos="931"/>
              </w:tabs>
              <w:ind w:left="751" w:firstLine="0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232E05">
              <w:rPr>
                <w:rFonts w:ascii="Calibri" w:hAnsi="Calibri" w:cs="Tahoma"/>
                <w:i/>
                <w:sz w:val="22"/>
                <w:szCs w:val="22"/>
              </w:rPr>
              <w:t>Journées de Liège sur l’assurance dépendance</w:t>
            </w:r>
            <w:r w:rsidR="000C0548">
              <w:rPr>
                <w:rFonts w:ascii="Calibri" w:hAnsi="Calibri" w:cs="Tahoma"/>
                <w:i/>
                <w:sz w:val="22"/>
                <w:szCs w:val="22"/>
              </w:rPr>
              <w:t xml:space="preserve"> (2012)</w:t>
            </w:r>
            <w:r w:rsidR="00242926">
              <w:rPr>
                <w:rFonts w:ascii="Calibri" w:hAnsi="Calibri" w:cs="Tahoma"/>
                <w:i/>
                <w:sz w:val="22"/>
                <w:szCs w:val="22"/>
              </w:rPr>
              <w:t xml:space="preserve"> « Est-il rationnel de ne pas s’assurer contre la dépendance ? »</w:t>
            </w:r>
          </w:p>
        </w:tc>
      </w:tr>
      <w:tr w:rsidR="006D1B6D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3D1B26" w:rsidRDefault="006D1B6D" w:rsidP="008D0352">
            <w:pPr>
              <w:numPr>
                <w:ilvl w:val="0"/>
                <w:numId w:val="4"/>
              </w:numPr>
              <w:tabs>
                <w:tab w:val="clear" w:pos="284"/>
                <w:tab w:val="num" w:pos="931"/>
              </w:tabs>
              <w:ind w:left="751" w:firstLine="0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3D1B26">
              <w:rPr>
                <w:rFonts w:ascii="Calibri" w:hAnsi="Calibri" w:cs="Tahoma"/>
                <w:i/>
                <w:sz w:val="22"/>
                <w:szCs w:val="22"/>
              </w:rPr>
              <w:t>AFSE 2011</w:t>
            </w:r>
            <w:r w:rsidR="002D4AA9">
              <w:rPr>
                <w:rFonts w:ascii="Calibri" w:hAnsi="Calibri" w:cs="Tahoma"/>
                <w:i/>
                <w:sz w:val="22"/>
                <w:szCs w:val="22"/>
              </w:rPr>
              <w:t xml:space="preserve"> « </w:t>
            </w:r>
            <w:r w:rsidR="003D1B26" w:rsidRPr="003D1B26">
              <w:rPr>
                <w:rFonts w:ascii="Calibri" w:hAnsi="Calibri" w:cs="Tahoma"/>
                <w:i/>
                <w:sz w:val="22"/>
                <w:szCs w:val="22"/>
              </w:rPr>
              <w:t>La demande d’assurance dans un cadre trivarié</w:t>
            </w:r>
            <w:r w:rsidR="002D4AA9">
              <w:rPr>
                <w:rFonts w:ascii="Calibri" w:hAnsi="Calibri" w:cs="Tahoma"/>
                <w:i/>
                <w:sz w:val="22"/>
                <w:szCs w:val="22"/>
              </w:rPr>
              <w:t> »</w:t>
            </w:r>
          </w:p>
        </w:tc>
      </w:tr>
      <w:tr w:rsidR="006D1B6D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5F6F15" w:rsidRDefault="006D1B6D" w:rsidP="008D0352">
            <w:pPr>
              <w:numPr>
                <w:ilvl w:val="0"/>
                <w:numId w:val="4"/>
              </w:numPr>
              <w:tabs>
                <w:tab w:val="clear" w:pos="284"/>
                <w:tab w:val="num" w:pos="931"/>
              </w:tabs>
              <w:ind w:left="751" w:firstLine="0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AES 2010</w:t>
            </w:r>
            <w:r w:rsidR="003D1B26">
              <w:rPr>
                <w:rFonts w:ascii="Calibri" w:hAnsi="Calibri" w:cs="Tahoma"/>
                <w:i/>
                <w:sz w:val="22"/>
                <w:szCs w:val="22"/>
              </w:rPr>
              <w:t xml:space="preserve"> «</w:t>
            </w:r>
            <w:r w:rsidR="00242926" w:rsidRPr="00242926">
              <w:rPr>
                <w:rFonts w:ascii="Calibri" w:hAnsi="Calibri" w:cs="Tahoma"/>
                <w:i/>
                <w:sz w:val="22"/>
                <w:szCs w:val="22"/>
              </w:rPr>
              <w:t xml:space="preserve">Les comportements face au risque dépendance </w:t>
            </w:r>
            <w:r w:rsidR="002D4AA9">
              <w:rPr>
                <w:rFonts w:ascii="Calibri" w:hAnsi="Calibri" w:cs="Tahoma"/>
                <w:i/>
                <w:sz w:val="22"/>
                <w:szCs w:val="22"/>
              </w:rPr>
              <w:t>: une approche théorique »</w:t>
            </w:r>
          </w:p>
        </w:tc>
      </w:tr>
      <w:tr w:rsidR="006D1B6D" w:rsidRPr="00201718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5F6F15" w:rsidRDefault="006D1B6D" w:rsidP="008D0352">
            <w:pPr>
              <w:numPr>
                <w:ilvl w:val="0"/>
                <w:numId w:val="4"/>
              </w:numPr>
              <w:tabs>
                <w:tab w:val="clear" w:pos="284"/>
                <w:tab w:val="num" w:pos="931"/>
              </w:tabs>
              <w:ind w:left="751" w:firstLine="0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JESF 2008</w:t>
            </w:r>
            <w:r w:rsidR="003D1B26">
              <w:rPr>
                <w:rFonts w:ascii="Calibri" w:hAnsi="Calibri" w:cs="Tahoma"/>
                <w:i/>
                <w:sz w:val="22"/>
                <w:szCs w:val="22"/>
              </w:rPr>
              <w:t xml:space="preserve"> « </w:t>
            </w:r>
            <w:r w:rsidR="00242926" w:rsidRPr="00242926">
              <w:rPr>
                <w:rFonts w:ascii="Calibri" w:hAnsi="Calibri" w:cs="Tahoma"/>
                <w:i/>
                <w:sz w:val="22"/>
                <w:szCs w:val="22"/>
              </w:rPr>
              <w:t>Assurance dépendance, effets de sélection et antisélection</w:t>
            </w:r>
            <w:r w:rsidR="00242926">
              <w:rPr>
                <w:rFonts w:ascii="Calibri" w:hAnsi="Calibri" w:cs="Tahoma"/>
                <w:i/>
                <w:sz w:val="22"/>
                <w:szCs w:val="22"/>
              </w:rPr>
              <w:t> »</w:t>
            </w:r>
          </w:p>
        </w:tc>
      </w:tr>
      <w:tr w:rsidR="006D1B6D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E95E2D" w:rsidRDefault="006D1B6D" w:rsidP="008D0352">
            <w:pPr>
              <w:numPr>
                <w:ilvl w:val="0"/>
                <w:numId w:val="4"/>
              </w:numPr>
              <w:tabs>
                <w:tab w:val="clear" w:pos="284"/>
                <w:tab w:val="num" w:pos="931"/>
              </w:tabs>
              <w:ind w:left="931" w:hanging="180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E95E2D">
              <w:rPr>
                <w:rFonts w:ascii="Calibri" w:hAnsi="Calibri" w:cs="Tahoma"/>
                <w:i/>
                <w:sz w:val="22"/>
                <w:szCs w:val="22"/>
              </w:rPr>
              <w:t>Risk and saving 2008</w:t>
            </w:r>
            <w:r w:rsidR="002D4AA9">
              <w:rPr>
                <w:rFonts w:ascii="Calibri" w:hAnsi="Calibri" w:cs="Tahoma"/>
                <w:i/>
                <w:sz w:val="22"/>
                <w:szCs w:val="22"/>
              </w:rPr>
              <w:t xml:space="preserve"> « </w:t>
            </w:r>
            <w:r w:rsidR="0083540F" w:rsidRPr="00E95E2D">
              <w:rPr>
                <w:rFonts w:ascii="Calibri" w:hAnsi="Calibri" w:cs="Tahoma"/>
                <w:i/>
                <w:sz w:val="22"/>
                <w:szCs w:val="22"/>
              </w:rPr>
              <w:t xml:space="preserve">Les determinants de la demande d’assurance </w:t>
            </w:r>
            <w:r w:rsidR="00E95E2D" w:rsidRPr="00E95E2D">
              <w:rPr>
                <w:rFonts w:ascii="Calibri" w:hAnsi="Calibri" w:cs="Tahoma"/>
                <w:i/>
                <w:sz w:val="22"/>
                <w:szCs w:val="22"/>
              </w:rPr>
              <w:t>dependa</w:t>
            </w:r>
            <w:r w:rsidR="0083540F" w:rsidRPr="00E95E2D">
              <w:rPr>
                <w:rFonts w:ascii="Calibri" w:hAnsi="Calibri" w:cs="Tahoma"/>
                <w:i/>
                <w:sz w:val="22"/>
                <w:szCs w:val="22"/>
              </w:rPr>
              <w:t>nce</w:t>
            </w:r>
            <w:r w:rsidR="002D4AA9">
              <w:rPr>
                <w:rFonts w:ascii="Calibri" w:hAnsi="Calibri" w:cs="Tahoma"/>
                <w:i/>
                <w:sz w:val="22"/>
                <w:szCs w:val="22"/>
              </w:rPr>
              <w:t> »</w:t>
            </w:r>
          </w:p>
        </w:tc>
      </w:tr>
      <w:tr w:rsidR="006D1B6D" w:rsidRPr="00D96F72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E95E2D" w:rsidRDefault="006D1B6D" w:rsidP="00242213">
            <w:pPr>
              <w:ind w:firstLine="392"/>
              <w:jc w:val="both"/>
              <w:rPr>
                <w:rFonts w:ascii="Calibri" w:hAnsi="Calibri" w:cs="Tahoma"/>
                <w:b/>
                <w:i/>
                <w:color w:val="000000"/>
                <w:u w:val="single"/>
              </w:rPr>
            </w:pPr>
          </w:p>
          <w:p w:rsidR="006D1B6D" w:rsidRPr="00242213" w:rsidRDefault="006D1B6D" w:rsidP="00242213">
            <w:pPr>
              <w:ind w:firstLine="392"/>
              <w:jc w:val="both"/>
              <w:rPr>
                <w:rFonts w:ascii="Calibri" w:hAnsi="Calibri" w:cs="Tahoma"/>
                <w:b/>
                <w:i/>
                <w:color w:val="000000"/>
                <w:u w:val="single"/>
              </w:rPr>
            </w:pPr>
            <w:r w:rsidRPr="005F6F15">
              <w:rPr>
                <w:rFonts w:ascii="Calibri" w:hAnsi="Calibri" w:cs="Tahoma"/>
                <w:b/>
                <w:i/>
                <w:color w:val="000000"/>
                <w:u w:val="single"/>
              </w:rPr>
              <w:t>Présentations à des séminaires</w:t>
            </w:r>
          </w:p>
        </w:tc>
      </w:tr>
      <w:tr w:rsidR="00570EA9" w:rsidRP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570EA9" w:rsidRPr="005F308F" w:rsidRDefault="00570EA9" w:rsidP="007909F6">
            <w:pPr>
              <w:pStyle w:val="Paragraphedeliste"/>
              <w:numPr>
                <w:ilvl w:val="0"/>
                <w:numId w:val="12"/>
              </w:numPr>
              <w:ind w:left="894" w:hanging="142"/>
              <w:jc w:val="both"/>
              <w:rPr>
                <w:rFonts w:ascii="Calibri" w:hAnsi="Calibri" w:cs="Tahoma"/>
                <w:i/>
                <w:kern w:val="0"/>
                <w:sz w:val="22"/>
                <w:szCs w:val="22"/>
              </w:rPr>
            </w:pPr>
            <w:r>
              <w:rPr>
                <w:rFonts w:ascii="Calibri" w:hAnsi="Calibri" w:cs="Tahoma"/>
                <w:i/>
                <w:kern w:val="0"/>
                <w:sz w:val="22"/>
                <w:szCs w:val="22"/>
              </w:rPr>
              <w:t>Argus de l’assurance – Conférence sur l’assurance dépendance 07/06/2012</w:t>
            </w:r>
          </w:p>
        </w:tc>
      </w:tr>
      <w:tr w:rsidR="005F308F" w:rsidRP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5F308F" w:rsidRPr="005F308F" w:rsidRDefault="005F308F" w:rsidP="007909F6">
            <w:pPr>
              <w:pStyle w:val="Paragraphedeliste"/>
              <w:numPr>
                <w:ilvl w:val="0"/>
                <w:numId w:val="12"/>
              </w:numPr>
              <w:ind w:left="894" w:hanging="142"/>
              <w:jc w:val="both"/>
              <w:rPr>
                <w:rFonts w:ascii="Calibri" w:hAnsi="Calibri" w:cs="Tahoma"/>
                <w:i/>
                <w:kern w:val="0"/>
                <w:sz w:val="22"/>
                <w:szCs w:val="22"/>
              </w:rPr>
            </w:pPr>
            <w:r w:rsidRPr="005F308F">
              <w:rPr>
                <w:rFonts w:ascii="Calibri" w:hAnsi="Calibri" w:cs="Tahoma"/>
                <w:i/>
                <w:kern w:val="0"/>
                <w:sz w:val="22"/>
                <w:szCs w:val="22"/>
              </w:rPr>
              <w:t>Forum CDC, 14/03/2012 – La santé et la dépendance face au vieillissement</w:t>
            </w:r>
          </w:p>
        </w:tc>
      </w:tr>
      <w:tr w:rsidR="006D1B6D" w:rsidRP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5F308F" w:rsidRDefault="006D1B6D" w:rsidP="007909F6">
            <w:pPr>
              <w:pStyle w:val="Paragraphedeliste"/>
              <w:numPr>
                <w:ilvl w:val="0"/>
                <w:numId w:val="12"/>
              </w:numPr>
              <w:ind w:left="894" w:hanging="142"/>
              <w:jc w:val="both"/>
              <w:rPr>
                <w:rFonts w:ascii="Calibri" w:hAnsi="Calibri" w:cs="Tahoma"/>
                <w:i/>
                <w:kern w:val="0"/>
                <w:sz w:val="22"/>
                <w:szCs w:val="22"/>
              </w:rPr>
            </w:pPr>
            <w:r w:rsidRPr="005F308F">
              <w:rPr>
                <w:rFonts w:ascii="Calibri" w:hAnsi="Calibri" w:cs="Tahoma"/>
                <w:i/>
                <w:kern w:val="0"/>
                <w:sz w:val="22"/>
                <w:szCs w:val="22"/>
              </w:rPr>
              <w:t>Institut des actuaires</w:t>
            </w:r>
            <w:r w:rsidR="00E20C69" w:rsidRPr="005F308F">
              <w:rPr>
                <w:rFonts w:ascii="Calibri" w:hAnsi="Calibri" w:cs="Tahoma"/>
                <w:i/>
                <w:kern w:val="0"/>
                <w:sz w:val="22"/>
                <w:szCs w:val="22"/>
              </w:rPr>
              <w:t xml:space="preserve">, </w:t>
            </w:r>
            <w:r w:rsidR="005F308F" w:rsidRPr="005F308F">
              <w:rPr>
                <w:rFonts w:ascii="Calibri" w:hAnsi="Calibri" w:cs="Tahoma"/>
                <w:i/>
                <w:kern w:val="0"/>
                <w:sz w:val="22"/>
                <w:szCs w:val="22"/>
              </w:rPr>
              <w:t xml:space="preserve">23 </w:t>
            </w:r>
            <w:r w:rsidR="00E20C69" w:rsidRPr="005F308F">
              <w:rPr>
                <w:rFonts w:ascii="Calibri" w:hAnsi="Calibri" w:cs="Tahoma"/>
                <w:i/>
                <w:kern w:val="0"/>
                <w:sz w:val="22"/>
                <w:szCs w:val="22"/>
              </w:rPr>
              <w:t>septembre 2011</w:t>
            </w:r>
            <w:r w:rsidR="005F308F" w:rsidRPr="005F308F">
              <w:rPr>
                <w:rFonts w:ascii="Calibri" w:hAnsi="Calibri" w:cs="Tahoma"/>
                <w:i/>
                <w:kern w:val="0"/>
                <w:sz w:val="22"/>
                <w:szCs w:val="22"/>
              </w:rPr>
              <w:t xml:space="preserve"> – Assurabilité et développement de l’assurance dépendance</w:t>
            </w:r>
          </w:p>
        </w:tc>
      </w:tr>
      <w:tr w:rsidR="006D1B6D" w:rsidRP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5F308F" w:rsidRDefault="006D1B6D" w:rsidP="00242213">
            <w:pPr>
              <w:pStyle w:val="Paragraphedeliste"/>
              <w:numPr>
                <w:ilvl w:val="0"/>
                <w:numId w:val="12"/>
              </w:numPr>
              <w:ind w:left="894" w:hanging="142"/>
              <w:jc w:val="both"/>
              <w:rPr>
                <w:rFonts w:ascii="Calibri" w:hAnsi="Calibri" w:cs="Tahoma"/>
                <w:i/>
                <w:kern w:val="0"/>
                <w:sz w:val="22"/>
                <w:szCs w:val="22"/>
              </w:rPr>
            </w:pPr>
            <w:r w:rsidRPr="005F308F">
              <w:rPr>
                <w:rFonts w:ascii="Calibri" w:hAnsi="Calibri" w:cs="Tahoma"/>
                <w:i/>
                <w:kern w:val="0"/>
                <w:sz w:val="22"/>
                <w:szCs w:val="22"/>
              </w:rPr>
              <w:t>Forum de la fondation du risque, Novembre 2010</w:t>
            </w:r>
            <w:r w:rsidR="00791F33">
              <w:rPr>
                <w:rFonts w:ascii="Calibri" w:hAnsi="Calibri" w:cs="Tahoma"/>
                <w:i/>
                <w:kern w:val="0"/>
                <w:sz w:val="22"/>
                <w:szCs w:val="22"/>
              </w:rPr>
              <w:t xml:space="preserve"> – L’assurance dépendance en France</w:t>
            </w:r>
          </w:p>
        </w:tc>
      </w:tr>
      <w:tr w:rsidR="006D1B6D" w:rsidRP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5F308F" w:rsidRDefault="005F308F" w:rsidP="00242213">
            <w:pPr>
              <w:pStyle w:val="Paragraphedeliste"/>
              <w:numPr>
                <w:ilvl w:val="0"/>
                <w:numId w:val="12"/>
              </w:numPr>
              <w:ind w:left="894" w:hanging="142"/>
              <w:jc w:val="both"/>
              <w:rPr>
                <w:rFonts w:ascii="Calibri" w:hAnsi="Calibri" w:cs="Tahoma"/>
                <w:i/>
                <w:kern w:val="0"/>
                <w:sz w:val="22"/>
                <w:szCs w:val="22"/>
              </w:rPr>
            </w:pPr>
            <w:r w:rsidRPr="005F308F">
              <w:rPr>
                <w:rFonts w:ascii="Calibri" w:hAnsi="Calibri" w:cs="Tahoma"/>
                <w:i/>
                <w:kern w:val="0"/>
                <w:sz w:val="22"/>
                <w:szCs w:val="22"/>
              </w:rPr>
              <w:lastRenderedPageBreak/>
              <w:t>Animation des Rencontres de la Chaire Risques et Chances de la Transition démographique avec R. Fontaine (Dauphine), N. Sirven (IRDES), Philippe de Normandie (Groupe Korian)</w:t>
            </w:r>
            <w:r w:rsidR="00186E9C">
              <w:rPr>
                <w:rFonts w:ascii="Calibri" w:hAnsi="Calibri" w:cs="Tahoma"/>
                <w:i/>
                <w:kern w:val="0"/>
                <w:sz w:val="22"/>
                <w:szCs w:val="22"/>
              </w:rPr>
              <w:t xml:space="preserve"> (Mai 2011)</w:t>
            </w:r>
          </w:p>
        </w:tc>
      </w:tr>
      <w:tr w:rsidR="006D1B6D" w:rsidRP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5F308F" w:rsidRDefault="006D1B6D" w:rsidP="00242213">
            <w:pPr>
              <w:pStyle w:val="Paragraphedeliste"/>
              <w:numPr>
                <w:ilvl w:val="0"/>
                <w:numId w:val="12"/>
              </w:numPr>
              <w:ind w:left="894" w:hanging="142"/>
              <w:jc w:val="both"/>
              <w:rPr>
                <w:rFonts w:ascii="Calibri" w:hAnsi="Calibri" w:cs="Tahoma"/>
                <w:i/>
                <w:kern w:val="0"/>
                <w:sz w:val="22"/>
                <w:szCs w:val="22"/>
              </w:rPr>
            </w:pPr>
            <w:r w:rsidRPr="005F308F">
              <w:rPr>
                <w:rFonts w:ascii="Calibri" w:hAnsi="Calibri" w:cs="Tahoma"/>
                <w:i/>
                <w:kern w:val="0"/>
                <w:sz w:val="22"/>
                <w:szCs w:val="22"/>
              </w:rPr>
              <w:t xml:space="preserve">Présentation de mes </w:t>
            </w:r>
            <w:r w:rsidR="005F308F" w:rsidRPr="005F308F">
              <w:rPr>
                <w:rFonts w:ascii="Calibri" w:hAnsi="Calibri" w:cs="Tahoma"/>
                <w:i/>
                <w:kern w:val="0"/>
                <w:sz w:val="22"/>
                <w:szCs w:val="22"/>
              </w:rPr>
              <w:t>travaux au ministère du Budget,</w:t>
            </w:r>
            <w:r w:rsidR="00094823">
              <w:rPr>
                <w:rFonts w:ascii="Calibri" w:hAnsi="Calibri" w:cs="Tahoma"/>
                <w:i/>
                <w:kern w:val="0"/>
                <w:sz w:val="22"/>
                <w:szCs w:val="22"/>
              </w:rPr>
              <w:t xml:space="preserve"> </w:t>
            </w:r>
            <w:r w:rsidRPr="005F308F">
              <w:rPr>
                <w:rFonts w:ascii="Calibri" w:hAnsi="Calibri" w:cs="Tahoma"/>
                <w:i/>
                <w:kern w:val="0"/>
                <w:sz w:val="22"/>
                <w:szCs w:val="22"/>
              </w:rPr>
              <w:t>Octobre 2010</w:t>
            </w:r>
          </w:p>
        </w:tc>
      </w:tr>
      <w:tr w:rsidR="00186E9C" w:rsidRP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186E9C" w:rsidRPr="005F308F" w:rsidRDefault="00186E9C" w:rsidP="00242213">
            <w:pPr>
              <w:pStyle w:val="Paragraphedeliste"/>
              <w:numPr>
                <w:ilvl w:val="0"/>
                <w:numId w:val="12"/>
              </w:numPr>
              <w:ind w:left="894" w:hanging="142"/>
              <w:jc w:val="both"/>
              <w:rPr>
                <w:rFonts w:ascii="Calibri" w:hAnsi="Calibri" w:cs="Tahoma"/>
                <w:i/>
                <w:kern w:val="0"/>
                <w:sz w:val="22"/>
                <w:szCs w:val="22"/>
              </w:rPr>
            </w:pPr>
            <w:r>
              <w:rPr>
                <w:rFonts w:ascii="Calibri" w:hAnsi="Calibri" w:cs="Tahoma"/>
                <w:i/>
                <w:kern w:val="0"/>
                <w:sz w:val="22"/>
                <w:szCs w:val="22"/>
              </w:rPr>
              <w:t>Membre</w:t>
            </w:r>
            <w:r w:rsidRPr="00186E9C">
              <w:rPr>
                <w:rFonts w:ascii="Calibri" w:hAnsi="Calibri" w:cs="Tahoma"/>
                <w:i/>
                <w:kern w:val="0"/>
                <w:sz w:val="22"/>
                <w:szCs w:val="22"/>
              </w:rPr>
              <w:t xml:space="preserve"> du groupe ministériel</w:t>
            </w:r>
            <w:r>
              <w:rPr>
                <w:rFonts w:ascii="Calibri" w:hAnsi="Calibri" w:cs="Tahoma"/>
                <w:i/>
                <w:kern w:val="0"/>
                <w:sz w:val="22"/>
                <w:szCs w:val="22"/>
              </w:rPr>
              <w:t xml:space="preserve"> n°4</w:t>
            </w:r>
            <w:r w:rsidRPr="00186E9C">
              <w:rPr>
                <w:rFonts w:ascii="Calibri" w:hAnsi="Calibri" w:cs="Tahoma"/>
                <w:i/>
                <w:kern w:val="0"/>
                <w:sz w:val="22"/>
                <w:szCs w:val="22"/>
              </w:rPr>
              <w:t xml:space="preserve"> « Stratégie pour la couverture de la dépendance des personnes âgées » présidé par Bertrand Fragonard</w:t>
            </w:r>
            <w:r>
              <w:rPr>
                <w:rFonts w:ascii="Calibri" w:hAnsi="Calibri" w:cs="Tahoma"/>
                <w:i/>
                <w:kern w:val="0"/>
                <w:sz w:val="22"/>
                <w:szCs w:val="22"/>
              </w:rPr>
              <w:t xml:space="preserve"> (Mars 2011)</w:t>
            </w:r>
          </w:p>
        </w:tc>
      </w:tr>
      <w:tr w:rsidR="006D1B6D" w:rsidRP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5F6F15" w:rsidRDefault="0041232E" w:rsidP="00EF41DB">
            <w:pPr>
              <w:numPr>
                <w:ilvl w:val="0"/>
                <w:numId w:val="5"/>
              </w:numPr>
              <w:tabs>
                <w:tab w:val="clear" w:pos="284"/>
                <w:tab w:val="num" w:pos="931"/>
              </w:tabs>
              <w:ind w:left="931" w:hanging="180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5F308F">
              <w:rPr>
                <w:rFonts w:ascii="Calibri" w:hAnsi="Calibri" w:cs="Tahoma"/>
                <w:i/>
                <w:sz w:val="22"/>
                <w:szCs w:val="22"/>
              </w:rPr>
              <w:t>CORA FFSA, décembre 2009 – L’assurance dépendance en France</w:t>
            </w:r>
          </w:p>
        </w:tc>
      </w:tr>
      <w:tr w:rsidR="006D1B6D" w:rsidRP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5F6F15" w:rsidRDefault="006D1B6D" w:rsidP="00EF41DB">
            <w:pPr>
              <w:numPr>
                <w:ilvl w:val="0"/>
                <w:numId w:val="5"/>
              </w:numPr>
              <w:tabs>
                <w:tab w:val="clear" w:pos="284"/>
                <w:tab w:val="num" w:pos="931"/>
              </w:tabs>
              <w:ind w:left="931" w:hanging="180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Con</w:t>
            </w:r>
            <w:r w:rsidR="005F308F">
              <w:rPr>
                <w:rFonts w:ascii="Calibri" w:hAnsi="Calibri" w:cs="Tahoma"/>
                <w:i/>
                <w:sz w:val="22"/>
                <w:szCs w:val="22"/>
              </w:rPr>
              <w:t>férence de la Chaire Risques et Chances de la transition démographique, 5 décembre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 2008</w:t>
            </w:r>
            <w:r w:rsidR="003D1B26">
              <w:rPr>
                <w:rFonts w:ascii="Calibri" w:hAnsi="Calibri" w:cs="Tahoma"/>
                <w:i/>
                <w:sz w:val="22"/>
                <w:szCs w:val="22"/>
              </w:rPr>
              <w:t> : « Le marché de l’assurance dépendance</w:t>
            </w:r>
            <w:r w:rsidR="005F308F">
              <w:rPr>
                <w:rFonts w:ascii="Calibri" w:hAnsi="Calibri" w:cs="Tahoma"/>
                <w:i/>
                <w:sz w:val="22"/>
                <w:szCs w:val="22"/>
              </w:rPr>
              <w:t> »</w:t>
            </w:r>
          </w:p>
        </w:tc>
      </w:tr>
      <w:tr w:rsidR="006D1B6D" w:rsidRP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5F6F15" w:rsidRDefault="006D1B6D" w:rsidP="00EF41DB">
            <w:pPr>
              <w:numPr>
                <w:ilvl w:val="0"/>
                <w:numId w:val="5"/>
              </w:numPr>
              <w:tabs>
                <w:tab w:val="clear" w:pos="284"/>
                <w:tab w:val="num" w:pos="931"/>
              </w:tabs>
              <w:ind w:left="931" w:hanging="180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5F6F15">
              <w:rPr>
                <w:rFonts w:ascii="Calibri" w:hAnsi="Calibri" w:cs="Tahoma"/>
                <w:i/>
                <w:sz w:val="22"/>
                <w:szCs w:val="22"/>
              </w:rPr>
              <w:t>Séminaire EDOCIF, Université Paris-Dauphine, juin 2008</w:t>
            </w:r>
            <w:r w:rsidR="003D1B26">
              <w:rPr>
                <w:rFonts w:ascii="Calibri" w:hAnsi="Calibri" w:cs="Tahoma"/>
                <w:i/>
                <w:sz w:val="22"/>
                <w:szCs w:val="22"/>
              </w:rPr>
              <w:t> : « Le marché peut-il couvrir le risque dépendance ? »</w:t>
            </w:r>
          </w:p>
        </w:tc>
      </w:tr>
      <w:tr w:rsidR="006D1B6D" w:rsidRP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5F6F15" w:rsidRDefault="006D1B6D" w:rsidP="00A56999">
            <w:pPr>
              <w:numPr>
                <w:ilvl w:val="0"/>
                <w:numId w:val="5"/>
              </w:numPr>
              <w:tabs>
                <w:tab w:val="clear" w:pos="284"/>
                <w:tab w:val="num" w:pos="931"/>
              </w:tabs>
              <w:ind w:left="931" w:hanging="180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5F6F15">
              <w:rPr>
                <w:rFonts w:ascii="Calibri" w:hAnsi="Calibri" w:cs="Tahoma"/>
                <w:i/>
                <w:sz w:val="22"/>
                <w:szCs w:val="22"/>
              </w:rPr>
              <w:t>Séminaire EDOCIF, Université Paris-Dauphine, juin 200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7</w:t>
            </w:r>
            <w:r w:rsidR="005F308F">
              <w:rPr>
                <w:rFonts w:ascii="Calibri" w:hAnsi="Calibri" w:cs="Tahoma"/>
                <w:i/>
                <w:sz w:val="22"/>
                <w:szCs w:val="22"/>
              </w:rPr>
              <w:t xml:space="preserve"> « </w:t>
            </w:r>
            <w:r w:rsidR="005F308F" w:rsidRPr="00242926">
              <w:rPr>
                <w:rFonts w:ascii="Calibri" w:hAnsi="Calibri" w:cs="Tahoma"/>
                <w:i/>
                <w:sz w:val="22"/>
                <w:szCs w:val="22"/>
              </w:rPr>
              <w:t>Assurance dépendance, effets de sélection et antisélection</w:t>
            </w:r>
            <w:r w:rsidR="005F308F">
              <w:rPr>
                <w:rFonts w:ascii="Calibri" w:hAnsi="Calibri" w:cs="Tahoma"/>
                <w:i/>
                <w:sz w:val="22"/>
                <w:szCs w:val="22"/>
              </w:rPr>
              <w:t> »</w:t>
            </w:r>
          </w:p>
        </w:tc>
      </w:tr>
      <w:tr w:rsidR="006D1B6D" w:rsidRPr="00727A84" w:rsidTr="0042748F">
        <w:trPr>
          <w:trHeight w:val="306"/>
          <w:jc w:val="center"/>
        </w:trPr>
        <w:tc>
          <w:tcPr>
            <w:tcW w:w="10789" w:type="dxa"/>
            <w:gridSpan w:val="3"/>
            <w:vAlign w:val="center"/>
          </w:tcPr>
          <w:p w:rsidR="006D1B6D" w:rsidRPr="005F6F15" w:rsidRDefault="006D1B6D" w:rsidP="00EF41DB">
            <w:pPr>
              <w:numPr>
                <w:ilvl w:val="0"/>
                <w:numId w:val="5"/>
              </w:numPr>
              <w:tabs>
                <w:tab w:val="clear" w:pos="284"/>
                <w:tab w:val="num" w:pos="931"/>
              </w:tabs>
              <w:ind w:left="931" w:hanging="180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Séminaire du LEGOS, Université Paris-Dauphine, février 2005</w:t>
            </w:r>
          </w:p>
        </w:tc>
      </w:tr>
      <w:tr w:rsidR="006D1B6D" w:rsidRPr="00AB224B" w:rsidTr="0042748F">
        <w:trPr>
          <w:trHeight w:val="526"/>
          <w:jc w:val="center"/>
        </w:trPr>
        <w:tc>
          <w:tcPr>
            <w:tcW w:w="10789" w:type="dxa"/>
            <w:gridSpan w:val="3"/>
          </w:tcPr>
          <w:p w:rsidR="006D1B6D" w:rsidRPr="005F6F15" w:rsidRDefault="006D1B6D" w:rsidP="00312420">
            <w:pPr>
              <w:rPr>
                <w:rFonts w:ascii="Calibri" w:hAnsi="Calibri"/>
                <w:b/>
                <w:i/>
                <w:color w:val="6600FF"/>
                <w:sz w:val="26"/>
                <w:szCs w:val="26"/>
                <w:u w:val="single"/>
              </w:rPr>
            </w:pPr>
            <w:r w:rsidRPr="00FD0561">
              <w:rPr>
                <w:rFonts w:ascii="Calibri" w:hAnsi="Calibri"/>
                <w:b/>
                <w:i/>
                <w:color w:val="000000"/>
                <w:sz w:val="36"/>
                <w:szCs w:val="36"/>
                <w:u w:val="single"/>
              </w:rPr>
              <w:t>I</w:t>
            </w:r>
            <w:r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mplication dans des contrats de recherches                                                                                                  </w:t>
            </w:r>
            <w:r w:rsidRPr="005F6F15">
              <w:rPr>
                <w:rFonts w:ascii="Calibri" w:hAnsi="Calibri"/>
                <w:b/>
                <w:i/>
                <w:color w:val="FFFFFF"/>
                <w:sz w:val="26"/>
                <w:szCs w:val="26"/>
                <w:u w:val="single"/>
              </w:rPr>
              <w:t>.</w:t>
            </w:r>
            <w:r w:rsidRPr="005F6F15">
              <w:rPr>
                <w:rFonts w:ascii="Calibri" w:hAnsi="Calibri"/>
                <w:b/>
                <w:i/>
                <w:color w:val="6600FF"/>
                <w:sz w:val="26"/>
                <w:szCs w:val="26"/>
                <w:u w:val="single"/>
              </w:rPr>
              <w:t xml:space="preserve">                                                                 </w:t>
            </w:r>
          </w:p>
        </w:tc>
      </w:tr>
      <w:tr w:rsidR="005645C5" w:rsidRPr="00261388" w:rsidTr="0042748F">
        <w:trPr>
          <w:trHeight w:val="258"/>
          <w:jc w:val="center"/>
        </w:trPr>
        <w:tc>
          <w:tcPr>
            <w:tcW w:w="10789" w:type="dxa"/>
            <w:gridSpan w:val="3"/>
          </w:tcPr>
          <w:p w:rsidR="005645C5" w:rsidRDefault="005645C5" w:rsidP="005645C5">
            <w:pPr>
              <w:pStyle w:val="NormalWeb"/>
              <w:numPr>
                <w:ilvl w:val="0"/>
                <w:numId w:val="6"/>
              </w:numPr>
              <w:tabs>
                <w:tab w:val="clear" w:pos="284"/>
                <w:tab w:val="num" w:pos="932"/>
              </w:tabs>
              <w:spacing w:before="0" w:beforeAutospacing="0" w:after="0" w:afterAutospacing="0" w:line="15" w:lineRule="atLeast"/>
              <w:ind w:left="932" w:right="172" w:hanging="180"/>
              <w:jc w:val="both"/>
              <w:rPr>
                <w:rFonts w:ascii="Calibri" w:hAnsi="Calibri" w:cs="Tahoma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Participation à l’élaboration du questionnaire de l’enquête Pated</w:t>
            </w:r>
            <w:r w:rsidR="002D4AA9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 financée par la Fondation Médéric Alzheimer</w:t>
            </w:r>
          </w:p>
        </w:tc>
      </w:tr>
      <w:tr w:rsidR="006D1B6D" w:rsidRPr="00261388" w:rsidTr="0042748F">
        <w:trPr>
          <w:trHeight w:val="258"/>
          <w:jc w:val="center"/>
        </w:trPr>
        <w:tc>
          <w:tcPr>
            <w:tcW w:w="10789" w:type="dxa"/>
            <w:gridSpan w:val="3"/>
          </w:tcPr>
          <w:p w:rsidR="006D1B6D" w:rsidRPr="00261388" w:rsidRDefault="005645C5" w:rsidP="005645C5">
            <w:pPr>
              <w:pStyle w:val="NormalWeb"/>
              <w:numPr>
                <w:ilvl w:val="0"/>
                <w:numId w:val="6"/>
              </w:numPr>
              <w:tabs>
                <w:tab w:val="clear" w:pos="284"/>
                <w:tab w:val="num" w:pos="932"/>
              </w:tabs>
              <w:spacing w:before="0" w:beforeAutospacing="0" w:after="0" w:afterAutospacing="0" w:line="15" w:lineRule="atLeast"/>
              <w:ind w:left="932" w:right="172" w:hanging="180"/>
              <w:jc w:val="both"/>
              <w:rPr>
                <w:rFonts w:ascii="Calibri" w:hAnsi="Calibri" w:cs="Tahoma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Contrat de recherche avec la CDC sur les impacts du </w:t>
            </w:r>
            <w:r w:rsidR="00E95E2D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vieillissement</w:t>
            </w:r>
          </w:p>
        </w:tc>
      </w:tr>
      <w:tr w:rsidR="006D1B6D" w:rsidRPr="0042748F" w:rsidTr="0042748F">
        <w:trPr>
          <w:trHeight w:val="258"/>
          <w:jc w:val="center"/>
        </w:trPr>
        <w:tc>
          <w:tcPr>
            <w:tcW w:w="10789" w:type="dxa"/>
            <w:gridSpan w:val="3"/>
          </w:tcPr>
          <w:p w:rsidR="006D1B6D" w:rsidRPr="00D42DDB" w:rsidRDefault="006D1B6D" w:rsidP="00E00113">
            <w:pPr>
              <w:pStyle w:val="NormalWeb"/>
              <w:numPr>
                <w:ilvl w:val="0"/>
                <w:numId w:val="6"/>
              </w:numPr>
              <w:tabs>
                <w:tab w:val="clear" w:pos="284"/>
                <w:tab w:val="num" w:pos="932"/>
              </w:tabs>
              <w:spacing w:before="0" w:beforeAutospacing="0" w:after="0" w:afterAutospacing="0" w:line="15" w:lineRule="atLeast"/>
              <w:ind w:left="932" w:right="170" w:hanging="180"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Contrat DREES-LEGOS, Monographie des contrats d’assurance dépendance</w:t>
            </w:r>
            <w:r w:rsidR="005F308F">
              <w:rPr>
                <w:rFonts w:ascii="Calibri" w:hAnsi="Calibri"/>
                <w:i/>
                <w:sz w:val="22"/>
                <w:szCs w:val="22"/>
              </w:rPr>
              <w:t xml:space="preserve"> sous la direction de Sandrine Dufour-Kippelin</w:t>
            </w:r>
          </w:p>
        </w:tc>
      </w:tr>
      <w:tr w:rsidR="006D1B6D" w:rsidRPr="0042748F" w:rsidTr="0042748F">
        <w:trPr>
          <w:trHeight w:val="101"/>
          <w:jc w:val="center"/>
        </w:trPr>
        <w:tc>
          <w:tcPr>
            <w:tcW w:w="10789" w:type="dxa"/>
            <w:gridSpan w:val="3"/>
          </w:tcPr>
          <w:p w:rsidR="006D1B6D" w:rsidRPr="00D42DDB" w:rsidRDefault="006D1B6D" w:rsidP="0064242C">
            <w:pPr>
              <w:rPr>
                <w:rFonts w:ascii="Calibri" w:hAnsi="Calibri"/>
                <w:b/>
                <w:i/>
                <w:color w:val="009999"/>
                <w:sz w:val="12"/>
                <w:szCs w:val="12"/>
                <w:u w:val="single"/>
              </w:rPr>
            </w:pPr>
          </w:p>
        </w:tc>
      </w:tr>
      <w:tr w:rsidR="006D1B6D" w:rsidRPr="00CC0DDA" w:rsidTr="0042748F">
        <w:trPr>
          <w:trHeight w:val="526"/>
          <w:jc w:val="center"/>
        </w:trPr>
        <w:tc>
          <w:tcPr>
            <w:tcW w:w="10789" w:type="dxa"/>
            <w:gridSpan w:val="3"/>
          </w:tcPr>
          <w:p w:rsidR="006D1B6D" w:rsidRPr="005F6F15" w:rsidRDefault="006D1B6D" w:rsidP="0064242C">
            <w:pPr>
              <w:rPr>
                <w:rFonts w:ascii="Calibri" w:hAnsi="Calibri"/>
                <w:b/>
                <w:i/>
                <w:color w:val="6600FF"/>
                <w:sz w:val="26"/>
                <w:szCs w:val="26"/>
                <w:u w:val="single"/>
              </w:rPr>
            </w:pPr>
            <w:r w:rsidRPr="000343CC">
              <w:rPr>
                <w:rFonts w:ascii="Calibri" w:hAnsi="Calibri"/>
                <w:b/>
                <w:i/>
                <w:color w:val="000000"/>
                <w:sz w:val="36"/>
                <w:szCs w:val="36"/>
                <w:u w:val="single"/>
              </w:rPr>
              <w:t>A</w:t>
            </w:r>
            <w:r w:rsidRPr="000343CC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utres activités scientifiques        </w:t>
            </w:r>
            <w:r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                       </w:t>
            </w:r>
            <w:r w:rsidRPr="000343CC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</w:t>
            </w:r>
            <w:r w:rsidRPr="005F6F15">
              <w:rPr>
                <w:rFonts w:ascii="Calibri" w:hAnsi="Calibri"/>
                <w:b/>
                <w:i/>
                <w:color w:val="FFFFFF"/>
                <w:sz w:val="26"/>
                <w:szCs w:val="26"/>
                <w:u w:val="single"/>
              </w:rPr>
              <w:t>.</w:t>
            </w:r>
          </w:p>
        </w:tc>
      </w:tr>
      <w:tr w:rsidR="006D1B6D" w:rsidRPr="00727A84" w:rsidTr="00976DBC">
        <w:trPr>
          <w:trHeight w:val="306"/>
          <w:jc w:val="center"/>
        </w:trPr>
        <w:tc>
          <w:tcPr>
            <w:tcW w:w="1601" w:type="dxa"/>
            <w:gridSpan w:val="2"/>
          </w:tcPr>
          <w:p w:rsidR="006D1B6D" w:rsidRPr="005F6F15" w:rsidRDefault="006D1B6D" w:rsidP="0064242C">
            <w:pPr>
              <w:pStyle w:val="NormalWeb"/>
              <w:spacing w:line="15" w:lineRule="atLeast"/>
              <w:ind w:right="172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Rapporteur</w:t>
            </w:r>
          </w:p>
        </w:tc>
        <w:tc>
          <w:tcPr>
            <w:tcW w:w="9188" w:type="dxa"/>
          </w:tcPr>
          <w:p w:rsidR="006D1B6D" w:rsidRPr="00DF0E37" w:rsidRDefault="006D1B6D" w:rsidP="00261388">
            <w:pPr>
              <w:pStyle w:val="Normal11pt"/>
              <w:jc w:val="both"/>
              <w:rPr>
                <w:rFonts w:ascii="Calibri" w:hAnsi="Calibri"/>
                <w:i/>
                <w:color w:val="000000"/>
                <w:szCs w:val="22"/>
                <w:lang w:val="fr-FR"/>
              </w:rPr>
            </w:pPr>
            <w:r>
              <w:rPr>
                <w:rFonts w:ascii="Calibri" w:hAnsi="Calibri"/>
                <w:i/>
                <w:color w:val="000000"/>
                <w:szCs w:val="22"/>
                <w:lang w:val="fr-FR"/>
              </w:rPr>
              <w:t>Geneva’s Paper</w:t>
            </w:r>
          </w:p>
        </w:tc>
      </w:tr>
      <w:tr w:rsidR="006D1B6D" w:rsidRPr="00727A84" w:rsidTr="0042748F">
        <w:trPr>
          <w:trHeight w:val="87"/>
          <w:jc w:val="center"/>
        </w:trPr>
        <w:tc>
          <w:tcPr>
            <w:tcW w:w="10789" w:type="dxa"/>
            <w:gridSpan w:val="3"/>
          </w:tcPr>
          <w:p w:rsidR="006D1B6D" w:rsidRPr="00242213" w:rsidRDefault="006D1B6D" w:rsidP="0044300E">
            <w:pPr>
              <w:rPr>
                <w:rFonts w:ascii="Calibri" w:hAnsi="Calibri"/>
                <w:b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6D1B6D" w:rsidRPr="00727A84" w:rsidTr="0042748F">
        <w:trPr>
          <w:trHeight w:val="556"/>
          <w:jc w:val="center"/>
        </w:trPr>
        <w:tc>
          <w:tcPr>
            <w:tcW w:w="10789" w:type="dxa"/>
            <w:gridSpan w:val="3"/>
          </w:tcPr>
          <w:p w:rsidR="006D1B6D" w:rsidRPr="00727A84" w:rsidRDefault="006D1B6D" w:rsidP="0044300E">
            <w:pPr>
              <w:rPr>
                <w:lang w:val="en-GB"/>
              </w:rPr>
            </w:pPr>
            <w:r w:rsidRPr="00FD0561">
              <w:rPr>
                <w:rFonts w:ascii="Calibri" w:hAnsi="Calibri"/>
                <w:b/>
                <w:i/>
                <w:color w:val="000000"/>
                <w:sz w:val="36"/>
                <w:szCs w:val="36"/>
                <w:u w:val="single"/>
              </w:rPr>
              <w:t>D</w:t>
            </w:r>
            <w:r w:rsidRPr="005F6F15"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 xml:space="preserve">ivers                                                                                                                                                                      </w:t>
            </w:r>
            <w:r w:rsidRPr="005F6F15">
              <w:rPr>
                <w:rFonts w:ascii="Calibri" w:hAnsi="Calibri"/>
                <w:b/>
                <w:i/>
                <w:color w:val="FFFFFF"/>
                <w:sz w:val="26"/>
                <w:szCs w:val="26"/>
                <w:u w:val="single"/>
              </w:rPr>
              <w:t>.</w:t>
            </w:r>
          </w:p>
        </w:tc>
      </w:tr>
      <w:tr w:rsidR="006D1B6D" w:rsidRPr="000343CC" w:rsidTr="00976DBC">
        <w:trPr>
          <w:trHeight w:val="306"/>
          <w:jc w:val="center"/>
        </w:trPr>
        <w:tc>
          <w:tcPr>
            <w:tcW w:w="1601" w:type="dxa"/>
            <w:gridSpan w:val="2"/>
          </w:tcPr>
          <w:p w:rsidR="006D1B6D" w:rsidRPr="005F6F15" w:rsidRDefault="006D1B6D" w:rsidP="000343CC">
            <w:pPr>
              <w:pStyle w:val="NormalWeb"/>
              <w:spacing w:line="15" w:lineRule="atLeast"/>
              <w:ind w:right="172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en-GB"/>
              </w:rPr>
            </w:pPr>
            <w:r w:rsidRPr="005F6F15"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Langues</w:t>
            </w:r>
          </w:p>
        </w:tc>
        <w:tc>
          <w:tcPr>
            <w:tcW w:w="9188" w:type="dxa"/>
          </w:tcPr>
          <w:p w:rsidR="006D1B6D" w:rsidRPr="005F6F15" w:rsidRDefault="006D1B6D" w:rsidP="000343CC">
            <w:pPr>
              <w:pStyle w:val="NormalWeb"/>
              <w:spacing w:line="15" w:lineRule="atLeast"/>
              <w:ind w:right="172"/>
              <w:jc w:val="both"/>
              <w:rPr>
                <w:rFonts w:ascii="Calibri" w:hAnsi="Calibri" w:cs="Tahoma"/>
                <w:i/>
                <w:color w:val="000000"/>
                <w:sz w:val="22"/>
                <w:szCs w:val="22"/>
              </w:rPr>
            </w:pPr>
            <w:r w:rsidRPr="005F6F15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Français (langue</w:t>
            </w:r>
            <w:r w:rsidR="00E3433B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 maternelle), Anglais (langue de travail</w:t>
            </w:r>
            <w:r w:rsidRPr="005F6F15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 xml:space="preserve">), </w:t>
            </w:r>
            <w:r w:rsidR="00E3433B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Allemand (lu, écrit</w:t>
            </w:r>
            <w:r w:rsidRPr="005F6F15">
              <w:rPr>
                <w:rFonts w:ascii="Calibri" w:hAnsi="Calibri" w:cs="Tahoma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6D1B6D" w:rsidRPr="00481DBF" w:rsidTr="00976DBC">
        <w:trPr>
          <w:trHeight w:val="306"/>
          <w:jc w:val="center"/>
        </w:trPr>
        <w:tc>
          <w:tcPr>
            <w:tcW w:w="1601" w:type="dxa"/>
            <w:gridSpan w:val="2"/>
          </w:tcPr>
          <w:p w:rsidR="006D1B6D" w:rsidRPr="005F6F15" w:rsidRDefault="006D1B6D" w:rsidP="000343CC">
            <w:pPr>
              <w:spacing w:line="15" w:lineRule="atLeast"/>
              <w:ind w:right="172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en-GB"/>
              </w:rPr>
            </w:pPr>
            <w:r w:rsidRPr="005F6F15">
              <w:rPr>
                <w:rFonts w:ascii="Calibri" w:hAnsi="Calibri" w:cs="Tahoma"/>
                <w:b/>
                <w:bCs/>
                <w:i/>
                <w:color w:val="000000"/>
                <w:sz w:val="22"/>
                <w:szCs w:val="22"/>
              </w:rPr>
              <w:t>Logiciels</w:t>
            </w:r>
          </w:p>
        </w:tc>
        <w:tc>
          <w:tcPr>
            <w:tcW w:w="9188" w:type="dxa"/>
            <w:vAlign w:val="center"/>
          </w:tcPr>
          <w:p w:rsidR="006D1B6D" w:rsidRPr="005F6F15" w:rsidRDefault="006D1B6D" w:rsidP="000343CC">
            <w:pPr>
              <w:pStyle w:val="Normal11pt"/>
              <w:jc w:val="both"/>
              <w:rPr>
                <w:rFonts w:ascii="Calibri" w:hAnsi="Calibri" w:cs="Tahoma"/>
                <w:i/>
                <w:iCs/>
                <w:color w:val="000000"/>
                <w:szCs w:val="22"/>
              </w:rPr>
            </w:pPr>
            <w:r w:rsidRPr="005F6F15">
              <w:rPr>
                <w:rFonts w:ascii="Calibri" w:hAnsi="Calibri"/>
                <w:i/>
                <w:color w:val="000000"/>
                <w:szCs w:val="22"/>
              </w:rPr>
              <w:t>Stata, SAS, Eviews, Scientific Word, Office</w:t>
            </w:r>
          </w:p>
        </w:tc>
      </w:tr>
      <w:tr w:rsidR="006D1B6D" w:rsidRPr="00481DBF" w:rsidTr="00976DBC">
        <w:trPr>
          <w:trHeight w:val="306"/>
          <w:jc w:val="center"/>
        </w:trPr>
        <w:tc>
          <w:tcPr>
            <w:tcW w:w="1601" w:type="dxa"/>
            <w:gridSpan w:val="2"/>
            <w:vAlign w:val="center"/>
          </w:tcPr>
          <w:p w:rsidR="006D1B6D" w:rsidRPr="00727A84" w:rsidRDefault="006D1B6D" w:rsidP="0044300E">
            <w:pPr>
              <w:rPr>
                <w:lang w:val="en-GB"/>
              </w:rPr>
            </w:pPr>
          </w:p>
        </w:tc>
        <w:tc>
          <w:tcPr>
            <w:tcW w:w="9188" w:type="dxa"/>
            <w:vAlign w:val="center"/>
          </w:tcPr>
          <w:p w:rsidR="006D1B6D" w:rsidRPr="00727A84" w:rsidRDefault="006D1B6D" w:rsidP="0044300E">
            <w:pPr>
              <w:rPr>
                <w:lang w:val="en-GB"/>
              </w:rPr>
            </w:pPr>
          </w:p>
        </w:tc>
      </w:tr>
    </w:tbl>
    <w:p w:rsidR="0044300E" w:rsidRPr="00727A84" w:rsidRDefault="0044300E">
      <w:pPr>
        <w:rPr>
          <w:lang w:val="en-GB"/>
        </w:rPr>
      </w:pPr>
    </w:p>
    <w:sectPr w:rsidR="0044300E" w:rsidRPr="00727A84" w:rsidSect="006A3661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922"/>
    <w:multiLevelType w:val="hybridMultilevel"/>
    <w:tmpl w:val="02F249F4"/>
    <w:lvl w:ilvl="0" w:tplc="8B6C345C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E410A"/>
    <w:multiLevelType w:val="hybridMultilevel"/>
    <w:tmpl w:val="A7DC1188"/>
    <w:lvl w:ilvl="0" w:tplc="040C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">
    <w:nsid w:val="15CB3E68"/>
    <w:multiLevelType w:val="hybridMultilevel"/>
    <w:tmpl w:val="38989F48"/>
    <w:lvl w:ilvl="0" w:tplc="9A704D6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E49B7"/>
    <w:multiLevelType w:val="hybridMultilevel"/>
    <w:tmpl w:val="728A7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81514"/>
    <w:multiLevelType w:val="hybridMultilevel"/>
    <w:tmpl w:val="B6A09FDA"/>
    <w:lvl w:ilvl="0" w:tplc="040ECA52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3672C"/>
    <w:multiLevelType w:val="multilevel"/>
    <w:tmpl w:val="B6A09FDA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C3274"/>
    <w:multiLevelType w:val="hybridMultilevel"/>
    <w:tmpl w:val="B2ECA78C"/>
    <w:lvl w:ilvl="0" w:tplc="040C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7">
    <w:nsid w:val="3FFB4FCE"/>
    <w:multiLevelType w:val="hybridMultilevel"/>
    <w:tmpl w:val="A950E526"/>
    <w:lvl w:ilvl="0" w:tplc="9A704D6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F3029"/>
    <w:multiLevelType w:val="multilevel"/>
    <w:tmpl w:val="10C0174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F330D"/>
    <w:multiLevelType w:val="hybridMultilevel"/>
    <w:tmpl w:val="C7C2ED62"/>
    <w:lvl w:ilvl="0" w:tplc="9A704D6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F2B04"/>
    <w:multiLevelType w:val="hybridMultilevel"/>
    <w:tmpl w:val="368AB88A"/>
    <w:lvl w:ilvl="0" w:tplc="9A704D6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4B5C6C"/>
    <w:multiLevelType w:val="hybridMultilevel"/>
    <w:tmpl w:val="D38A0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characterSpacingControl w:val="doNotCompress"/>
  <w:compat/>
  <w:rsids>
    <w:rsidRoot w:val="0044300E"/>
    <w:rsid w:val="000021E0"/>
    <w:rsid w:val="00011D7D"/>
    <w:rsid w:val="000343CC"/>
    <w:rsid w:val="0005659A"/>
    <w:rsid w:val="00075AD9"/>
    <w:rsid w:val="000863CC"/>
    <w:rsid w:val="00094823"/>
    <w:rsid w:val="000C0548"/>
    <w:rsid w:val="00140C61"/>
    <w:rsid w:val="00151386"/>
    <w:rsid w:val="00173D67"/>
    <w:rsid w:val="0017546F"/>
    <w:rsid w:val="00186E9C"/>
    <w:rsid w:val="001D7EBE"/>
    <w:rsid w:val="00201718"/>
    <w:rsid w:val="00215FEE"/>
    <w:rsid w:val="00232E05"/>
    <w:rsid w:val="00242213"/>
    <w:rsid w:val="00242926"/>
    <w:rsid w:val="00244A4C"/>
    <w:rsid w:val="00261388"/>
    <w:rsid w:val="002913C8"/>
    <w:rsid w:val="002A7FC9"/>
    <w:rsid w:val="002D4AA9"/>
    <w:rsid w:val="00312420"/>
    <w:rsid w:val="00313E62"/>
    <w:rsid w:val="00313E9D"/>
    <w:rsid w:val="00340684"/>
    <w:rsid w:val="00370AEA"/>
    <w:rsid w:val="003B27AA"/>
    <w:rsid w:val="003D1B26"/>
    <w:rsid w:val="00410B3C"/>
    <w:rsid w:val="0041232E"/>
    <w:rsid w:val="0042748F"/>
    <w:rsid w:val="00440592"/>
    <w:rsid w:val="0044300E"/>
    <w:rsid w:val="00447429"/>
    <w:rsid w:val="00463FE7"/>
    <w:rsid w:val="00464DF9"/>
    <w:rsid w:val="00481DBF"/>
    <w:rsid w:val="004C625E"/>
    <w:rsid w:val="00507B99"/>
    <w:rsid w:val="005645C5"/>
    <w:rsid w:val="00564C8F"/>
    <w:rsid w:val="00570EA9"/>
    <w:rsid w:val="005F308F"/>
    <w:rsid w:val="005F6F15"/>
    <w:rsid w:val="00616DA8"/>
    <w:rsid w:val="0063022B"/>
    <w:rsid w:val="0064242C"/>
    <w:rsid w:val="006554AC"/>
    <w:rsid w:val="0069533B"/>
    <w:rsid w:val="006A3661"/>
    <w:rsid w:val="006B767D"/>
    <w:rsid w:val="006D1B6D"/>
    <w:rsid w:val="006D5E51"/>
    <w:rsid w:val="006E5295"/>
    <w:rsid w:val="006E725F"/>
    <w:rsid w:val="00714DC7"/>
    <w:rsid w:val="00727A84"/>
    <w:rsid w:val="007711F9"/>
    <w:rsid w:val="00781AE2"/>
    <w:rsid w:val="007909F6"/>
    <w:rsid w:val="00791F33"/>
    <w:rsid w:val="00794D9C"/>
    <w:rsid w:val="007C35F3"/>
    <w:rsid w:val="00800075"/>
    <w:rsid w:val="00810989"/>
    <w:rsid w:val="00817F3B"/>
    <w:rsid w:val="0083540F"/>
    <w:rsid w:val="008D5E52"/>
    <w:rsid w:val="008F4A0E"/>
    <w:rsid w:val="009407BA"/>
    <w:rsid w:val="00944F96"/>
    <w:rsid w:val="00974F1D"/>
    <w:rsid w:val="00976DBC"/>
    <w:rsid w:val="00983B15"/>
    <w:rsid w:val="009B0624"/>
    <w:rsid w:val="009B21AC"/>
    <w:rsid w:val="00A100A4"/>
    <w:rsid w:val="00A111F3"/>
    <w:rsid w:val="00A320B4"/>
    <w:rsid w:val="00A53CA7"/>
    <w:rsid w:val="00A5426F"/>
    <w:rsid w:val="00A56999"/>
    <w:rsid w:val="00A62925"/>
    <w:rsid w:val="00A63395"/>
    <w:rsid w:val="00A70ABE"/>
    <w:rsid w:val="00A91290"/>
    <w:rsid w:val="00AA1CC8"/>
    <w:rsid w:val="00AB224B"/>
    <w:rsid w:val="00B15E49"/>
    <w:rsid w:val="00B2439C"/>
    <w:rsid w:val="00B83697"/>
    <w:rsid w:val="00B95CD3"/>
    <w:rsid w:val="00BB2B36"/>
    <w:rsid w:val="00C131A3"/>
    <w:rsid w:val="00CA22FB"/>
    <w:rsid w:val="00CC0DDA"/>
    <w:rsid w:val="00D05957"/>
    <w:rsid w:val="00D42DDB"/>
    <w:rsid w:val="00D50566"/>
    <w:rsid w:val="00D5590B"/>
    <w:rsid w:val="00D96F72"/>
    <w:rsid w:val="00DA03DB"/>
    <w:rsid w:val="00DC6EF6"/>
    <w:rsid w:val="00DF0E37"/>
    <w:rsid w:val="00E00113"/>
    <w:rsid w:val="00E17192"/>
    <w:rsid w:val="00E20C69"/>
    <w:rsid w:val="00E26EE2"/>
    <w:rsid w:val="00E3433B"/>
    <w:rsid w:val="00E50594"/>
    <w:rsid w:val="00E5273E"/>
    <w:rsid w:val="00E87A9D"/>
    <w:rsid w:val="00E95E2D"/>
    <w:rsid w:val="00E96DB1"/>
    <w:rsid w:val="00EB7F7F"/>
    <w:rsid w:val="00EF41DB"/>
    <w:rsid w:val="00F63940"/>
    <w:rsid w:val="00FD0561"/>
    <w:rsid w:val="00F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E51"/>
    <w:rPr>
      <w:sz w:val="24"/>
      <w:szCs w:val="24"/>
    </w:rPr>
  </w:style>
  <w:style w:type="paragraph" w:styleId="Titre1">
    <w:name w:val="heading 1"/>
    <w:basedOn w:val="Normal"/>
    <w:next w:val="Normal"/>
    <w:qFormat/>
    <w:rsid w:val="00D05957"/>
    <w:pPr>
      <w:keepNext/>
      <w:tabs>
        <w:tab w:val="left" w:pos="1665"/>
      </w:tabs>
      <w:outlineLvl w:val="0"/>
    </w:pPr>
    <w:rPr>
      <w:b/>
      <w:bCs/>
      <w:color w:val="008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3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300E"/>
    <w:pPr>
      <w:spacing w:before="100" w:beforeAutospacing="1" w:after="100" w:afterAutospacing="1"/>
    </w:pPr>
  </w:style>
  <w:style w:type="paragraph" w:styleId="Corpsdetexte">
    <w:name w:val="Body Text"/>
    <w:basedOn w:val="Normal"/>
    <w:rsid w:val="006B767D"/>
    <w:rPr>
      <w:sz w:val="18"/>
    </w:rPr>
  </w:style>
  <w:style w:type="paragraph" w:styleId="Paragraphedeliste">
    <w:name w:val="List Paragraph"/>
    <w:basedOn w:val="Normal"/>
    <w:qFormat/>
    <w:rsid w:val="006B767D"/>
    <w:pPr>
      <w:widowControl w:val="0"/>
      <w:overflowPunct w:val="0"/>
      <w:autoSpaceDE w:val="0"/>
      <w:autoSpaceDN w:val="0"/>
      <w:adjustRightInd w:val="0"/>
      <w:ind w:left="708"/>
    </w:pPr>
    <w:rPr>
      <w:kern w:val="28"/>
      <w:sz w:val="20"/>
      <w:szCs w:val="20"/>
    </w:rPr>
  </w:style>
  <w:style w:type="paragraph" w:customStyle="1" w:styleId="Normal11pt">
    <w:name w:val="Normal + 11 pt"/>
    <w:aliases w:val="Couleur personnalisée(RVB(95,95,95))"/>
    <w:basedOn w:val="Normal"/>
    <w:rsid w:val="00727A84"/>
    <w:rPr>
      <w:color w:val="5F5F5F"/>
      <w:sz w:val="22"/>
      <w:lang w:val="en-GB"/>
    </w:rPr>
  </w:style>
  <w:style w:type="character" w:styleId="Lienhypertexte">
    <w:name w:val="Hyperlink"/>
    <w:basedOn w:val="Policepardfaut"/>
    <w:unhideWhenUsed/>
    <w:rsid w:val="00727A84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D96F72"/>
  </w:style>
  <w:style w:type="character" w:customStyle="1" w:styleId="apple-converted-space">
    <w:name w:val="apple-converted-space"/>
    <w:basedOn w:val="Policepardfaut"/>
    <w:rsid w:val="00D96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85D1-A175-483B-9D33-A4DD53B0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Roméo FONTAINE</vt:lpstr>
      <vt:lpstr>Roméo FONTAINE</vt:lpstr>
    </vt:vector>
  </TitlesOfParts>
  <Company>Université Paris Dauphine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Roméo FONTAINE</dc:title>
  <dc:creator>roméo</dc:creator>
  <cp:lastModifiedBy>verdy</cp:lastModifiedBy>
  <cp:revision>2</cp:revision>
  <cp:lastPrinted>2011-05-27T09:48:00Z</cp:lastPrinted>
  <dcterms:created xsi:type="dcterms:W3CDTF">2012-07-26T09:07:00Z</dcterms:created>
  <dcterms:modified xsi:type="dcterms:W3CDTF">2012-07-26T09:07:00Z</dcterms:modified>
</cp:coreProperties>
</file>